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28A8" w14:textId="77777777" w:rsidR="007D370B" w:rsidRPr="00595B79" w:rsidRDefault="007D370B" w:rsidP="00595B79">
      <w:pPr>
        <w:spacing w:after="0" w:line="240" w:lineRule="auto"/>
        <w:rPr>
          <w:rFonts w:cstheme="minorHAnsi"/>
          <w:sz w:val="24"/>
          <w:szCs w:val="24"/>
        </w:rPr>
      </w:pPr>
      <w:bookmarkStart w:id="0" w:name="_GoBack"/>
      <w:bookmarkEnd w:id="0"/>
    </w:p>
    <w:p w14:paraId="6034740B" w14:textId="77777777" w:rsidR="00595B79" w:rsidRDefault="00595B79" w:rsidP="00661162">
      <w:pPr>
        <w:spacing w:after="0" w:line="240" w:lineRule="auto"/>
        <w:jc w:val="center"/>
        <w:rPr>
          <w:rFonts w:ascii="Verdana" w:hAnsi="Verdana"/>
          <w:b/>
          <w:sz w:val="20"/>
          <w:szCs w:val="20"/>
        </w:rPr>
      </w:pPr>
    </w:p>
    <w:p w14:paraId="5754C0FB" w14:textId="7F79B8E3" w:rsidR="009D4888" w:rsidRDefault="009D4888" w:rsidP="009D4888">
      <w:pPr>
        <w:spacing w:after="0" w:line="240" w:lineRule="auto"/>
        <w:rPr>
          <w:rFonts w:ascii="Verdana" w:hAnsi="Verdana"/>
          <w:b/>
          <w:sz w:val="20"/>
          <w:szCs w:val="20"/>
        </w:rPr>
      </w:pPr>
      <w:r>
        <w:rPr>
          <w:rFonts w:ascii="Verdana" w:hAnsi="Verdana"/>
          <w:b/>
          <w:sz w:val="20"/>
          <w:szCs w:val="20"/>
        </w:rPr>
        <w:t>Recommendation #</w:t>
      </w:r>
      <w:r w:rsidR="0001473F">
        <w:rPr>
          <w:rFonts w:ascii="Verdana" w:hAnsi="Verdana"/>
          <w:b/>
          <w:sz w:val="20"/>
          <w:szCs w:val="20"/>
        </w:rPr>
        <w:t>1</w:t>
      </w:r>
      <w:r>
        <w:rPr>
          <w:rFonts w:ascii="Verdana" w:hAnsi="Verdana"/>
          <w:b/>
          <w:sz w:val="20"/>
          <w:szCs w:val="20"/>
        </w:rPr>
        <w:t>:</w:t>
      </w:r>
    </w:p>
    <w:p w14:paraId="697C481B" w14:textId="77777777" w:rsidR="009D4888" w:rsidRDefault="009D4888" w:rsidP="009D4888">
      <w:pPr>
        <w:spacing w:after="0" w:line="240" w:lineRule="auto"/>
        <w:rPr>
          <w:rFonts w:ascii="Verdana" w:hAnsi="Verdana"/>
          <w:b/>
          <w:sz w:val="20"/>
          <w:szCs w:val="20"/>
        </w:rPr>
      </w:pPr>
    </w:p>
    <w:p w14:paraId="5FE7155D" w14:textId="7C1FCF87" w:rsidR="009D4888" w:rsidRPr="0076772C" w:rsidRDefault="009D4888" w:rsidP="009D4888">
      <w:pPr>
        <w:spacing w:after="0" w:line="240" w:lineRule="auto"/>
        <w:rPr>
          <w:i/>
          <w:sz w:val="24"/>
          <w:szCs w:val="24"/>
        </w:rPr>
      </w:pPr>
      <w:r w:rsidRPr="0076772C">
        <w:rPr>
          <w:i/>
          <w:sz w:val="24"/>
          <w:szCs w:val="24"/>
        </w:rPr>
        <w:t xml:space="preserve">The Legislature should </w:t>
      </w:r>
      <w:r w:rsidR="00EF12EF">
        <w:rPr>
          <w:i/>
          <w:sz w:val="24"/>
          <w:szCs w:val="24"/>
        </w:rPr>
        <w:t xml:space="preserve">direct </w:t>
      </w:r>
      <w:r w:rsidRPr="0076772C">
        <w:rPr>
          <w:i/>
          <w:sz w:val="24"/>
          <w:szCs w:val="24"/>
        </w:rPr>
        <w:t xml:space="preserve">HHS </w:t>
      </w:r>
      <w:r w:rsidR="00EF12EF">
        <w:rPr>
          <w:i/>
          <w:sz w:val="24"/>
          <w:szCs w:val="24"/>
        </w:rPr>
        <w:t>to develop</w:t>
      </w:r>
      <w:r w:rsidRPr="0076772C">
        <w:rPr>
          <w:i/>
          <w:sz w:val="24"/>
          <w:szCs w:val="24"/>
        </w:rPr>
        <w:t xml:space="preserve"> a comprehensive initiative </w:t>
      </w:r>
      <w:r w:rsidR="00EF12EF">
        <w:rPr>
          <w:i/>
          <w:sz w:val="24"/>
          <w:szCs w:val="24"/>
        </w:rPr>
        <w:t xml:space="preserve">to leverage enhanced federal matching funds </w:t>
      </w:r>
      <w:r w:rsidRPr="0076772C">
        <w:rPr>
          <w:i/>
          <w:sz w:val="24"/>
          <w:szCs w:val="24"/>
        </w:rPr>
        <w:t xml:space="preserve">to improve the integration and usability of </w:t>
      </w:r>
      <w:r w:rsidR="0056406B">
        <w:rPr>
          <w:i/>
          <w:sz w:val="24"/>
          <w:szCs w:val="24"/>
        </w:rPr>
        <w:t xml:space="preserve">HHS </w:t>
      </w:r>
      <w:r w:rsidRPr="0076772C">
        <w:rPr>
          <w:i/>
          <w:sz w:val="24"/>
          <w:szCs w:val="24"/>
        </w:rPr>
        <w:t>system data resources</w:t>
      </w:r>
      <w:r w:rsidR="0056406B">
        <w:rPr>
          <w:i/>
          <w:sz w:val="24"/>
          <w:szCs w:val="24"/>
        </w:rPr>
        <w:t xml:space="preserve">, including by building capacity to </w:t>
      </w:r>
      <w:r w:rsidR="008F3DFE">
        <w:rPr>
          <w:i/>
          <w:sz w:val="24"/>
          <w:szCs w:val="24"/>
        </w:rPr>
        <w:t>incorporate clinical and other data available through electronic health records (EHR) systems.</w:t>
      </w:r>
    </w:p>
    <w:p w14:paraId="3F2B7DA8" w14:textId="77777777" w:rsidR="009D4888" w:rsidRDefault="009D4888" w:rsidP="009D4888">
      <w:pPr>
        <w:spacing w:after="0" w:line="240" w:lineRule="auto"/>
        <w:rPr>
          <w:rFonts w:ascii="Verdana" w:hAnsi="Verdana"/>
          <w:b/>
          <w:sz w:val="20"/>
          <w:szCs w:val="20"/>
        </w:rPr>
      </w:pPr>
    </w:p>
    <w:p w14:paraId="02806CF4" w14:textId="28ED0E3B" w:rsidR="006305D1" w:rsidRPr="006540FC" w:rsidRDefault="009D4888" w:rsidP="0076772C">
      <w:pPr>
        <w:spacing w:after="0" w:line="240" w:lineRule="auto"/>
        <w:rPr>
          <w:rFonts w:cstheme="minorHAnsi"/>
          <w:sz w:val="24"/>
          <w:szCs w:val="24"/>
        </w:rPr>
      </w:pPr>
      <w:r w:rsidRPr="006540FC">
        <w:rPr>
          <w:rFonts w:cstheme="minorHAnsi"/>
          <w:sz w:val="24"/>
          <w:szCs w:val="24"/>
        </w:rPr>
        <w:t xml:space="preserve">Background: </w:t>
      </w:r>
      <w:r w:rsidR="006305D1" w:rsidRPr="0076772C">
        <w:rPr>
          <w:rFonts w:cstheme="minorHAnsi"/>
          <w:sz w:val="24"/>
          <w:szCs w:val="24"/>
        </w:rPr>
        <w:t>That which is measured and measured well tends to improve, while that which is not improves very slowly</w:t>
      </w:r>
      <w:r w:rsidR="00427070" w:rsidRPr="006540FC">
        <w:rPr>
          <w:rFonts w:cstheme="minorHAnsi"/>
          <w:sz w:val="24"/>
          <w:szCs w:val="24"/>
        </w:rPr>
        <w:t>,</w:t>
      </w:r>
      <w:r w:rsidR="006305D1" w:rsidRPr="0076772C">
        <w:rPr>
          <w:rFonts w:cstheme="minorHAnsi"/>
          <w:sz w:val="24"/>
          <w:szCs w:val="24"/>
        </w:rPr>
        <w:t xml:space="preserve"> if at all. As HHS leads Texas Medicaid through transformation from a volume to a value-based system, health informatics should increasingly drive decisions at every level, from state policy maker to clinician to individual patient. To support this emphasis on analytics, best practice, and patient empowerment,</w:t>
      </w:r>
      <w:r w:rsidR="006305D1" w:rsidRPr="006540FC">
        <w:rPr>
          <w:rFonts w:cstheme="minorHAnsi"/>
          <w:sz w:val="24"/>
          <w:szCs w:val="24"/>
        </w:rPr>
        <w:t xml:space="preserve"> </w:t>
      </w:r>
      <w:r w:rsidR="00906758">
        <w:rPr>
          <w:rFonts w:cstheme="minorHAnsi"/>
          <w:sz w:val="24"/>
          <w:szCs w:val="24"/>
        </w:rPr>
        <w:t xml:space="preserve">Texas must </w:t>
      </w:r>
      <w:r w:rsidR="00922F74">
        <w:rPr>
          <w:rFonts w:cstheme="minorHAnsi"/>
          <w:sz w:val="24"/>
          <w:szCs w:val="24"/>
        </w:rPr>
        <w:t xml:space="preserve">continue to </w:t>
      </w:r>
      <w:r w:rsidR="006305D1" w:rsidRPr="006540FC">
        <w:rPr>
          <w:rFonts w:cstheme="minorHAnsi"/>
          <w:sz w:val="24"/>
          <w:szCs w:val="24"/>
        </w:rPr>
        <w:t xml:space="preserve">invest in building a state-of-the-art business intelligence system for the HHS system. </w:t>
      </w:r>
      <w:r w:rsidR="000D5CA3">
        <w:rPr>
          <w:rFonts w:cstheme="minorHAnsi"/>
          <w:sz w:val="24"/>
          <w:szCs w:val="24"/>
        </w:rPr>
        <w:t xml:space="preserve">HHS would need to cost out </w:t>
      </w:r>
      <w:r w:rsidR="00C57B30">
        <w:rPr>
          <w:rFonts w:cstheme="minorHAnsi"/>
          <w:sz w:val="24"/>
          <w:szCs w:val="24"/>
        </w:rPr>
        <w:t xml:space="preserve">the required </w:t>
      </w:r>
      <w:r w:rsidR="000D5CA3">
        <w:rPr>
          <w:rFonts w:cstheme="minorHAnsi"/>
          <w:sz w:val="24"/>
          <w:szCs w:val="24"/>
        </w:rPr>
        <w:t xml:space="preserve">non-federal share. </w:t>
      </w:r>
      <w:r w:rsidR="006305D1" w:rsidRPr="006540FC">
        <w:rPr>
          <w:rFonts w:cstheme="minorHAnsi"/>
          <w:sz w:val="24"/>
          <w:szCs w:val="24"/>
        </w:rPr>
        <w:t>This system should focus on improving the organization and usability of the system’s current data resources, while also establishing the infrastructure to incorporate new sources of clinical and health risk data.</w:t>
      </w:r>
    </w:p>
    <w:p w14:paraId="13E074BB" w14:textId="77777777" w:rsidR="006305D1" w:rsidRPr="006540FC" w:rsidRDefault="006305D1" w:rsidP="0076772C">
      <w:pPr>
        <w:spacing w:after="0" w:line="240" w:lineRule="auto"/>
        <w:rPr>
          <w:rFonts w:cstheme="minorHAnsi"/>
          <w:sz w:val="24"/>
          <w:szCs w:val="24"/>
        </w:rPr>
      </w:pPr>
    </w:p>
    <w:p w14:paraId="24EAE43B" w14:textId="09A2F1C4" w:rsidR="006305D1" w:rsidRPr="006540FC" w:rsidRDefault="009D4888" w:rsidP="0076772C">
      <w:pPr>
        <w:spacing w:after="0" w:line="240" w:lineRule="auto"/>
        <w:rPr>
          <w:rFonts w:cstheme="minorHAnsi"/>
          <w:sz w:val="24"/>
          <w:szCs w:val="24"/>
        </w:rPr>
      </w:pPr>
      <w:r w:rsidRPr="0076772C">
        <w:rPr>
          <w:rFonts w:cstheme="minorHAnsi"/>
          <w:sz w:val="24"/>
          <w:szCs w:val="24"/>
        </w:rPr>
        <w:t>Clients who account for a majority of HHS system spending tend to suffer from multiple chronic and other health conditions and are likely to receive services provided and/or paid for across a number of agencies and programs.  M</w:t>
      </w:r>
      <w:r w:rsidR="00922F74">
        <w:rPr>
          <w:rFonts w:cstheme="minorHAnsi"/>
          <w:sz w:val="24"/>
          <w:szCs w:val="24"/>
        </w:rPr>
        <w:t>any</w:t>
      </w:r>
      <w:r w:rsidRPr="0076772C">
        <w:rPr>
          <w:rFonts w:cstheme="minorHAnsi"/>
          <w:sz w:val="24"/>
          <w:szCs w:val="24"/>
        </w:rPr>
        <w:t xml:space="preserve"> transactions related to these services are captured and stored in digital format; however, they often are compiled into separate, unlinked data bases scattered across the HHS </w:t>
      </w:r>
      <w:r w:rsidR="0076772C" w:rsidRPr="0076772C">
        <w:rPr>
          <w:rFonts w:cstheme="minorHAnsi"/>
          <w:sz w:val="24"/>
          <w:szCs w:val="24"/>
        </w:rPr>
        <w:t>system. Establishing</w:t>
      </w:r>
      <w:r w:rsidRPr="0076772C">
        <w:rPr>
          <w:rFonts w:cstheme="minorHAnsi"/>
          <w:sz w:val="24"/>
          <w:szCs w:val="24"/>
        </w:rPr>
        <w:t xml:space="preserve"> processes</w:t>
      </w:r>
      <w:r w:rsidRPr="006540FC">
        <w:rPr>
          <w:rFonts w:cstheme="minorHAnsi"/>
          <w:sz w:val="24"/>
          <w:szCs w:val="24"/>
        </w:rPr>
        <w:t xml:space="preserve"> and an infrastructure to </w:t>
      </w:r>
      <w:r w:rsidRPr="0076772C">
        <w:rPr>
          <w:rFonts w:cstheme="minorHAnsi"/>
          <w:sz w:val="24"/>
          <w:szCs w:val="24"/>
        </w:rPr>
        <w:t>integrat</w:t>
      </w:r>
      <w:r w:rsidRPr="006540FC">
        <w:rPr>
          <w:rFonts w:cstheme="minorHAnsi"/>
          <w:sz w:val="24"/>
          <w:szCs w:val="24"/>
        </w:rPr>
        <w:t>e, analyze, and disseminate</w:t>
      </w:r>
      <w:r w:rsidRPr="0076772C">
        <w:rPr>
          <w:rFonts w:cstheme="minorHAnsi"/>
          <w:sz w:val="24"/>
          <w:szCs w:val="24"/>
        </w:rPr>
        <w:t xml:space="preserve"> this data is a necessary precursor for a state-of-the-art business intelligence platform.  For example, HHSC and DSHS are partners on a variety of projects to improve newborn and maternal outcomes informed by combining data from birth and death certificates collected by DSHS with data on Medicaid services maintained at HHSC.  One such better birth outcomes initiative, targeting a reduction in early elective deliveries, was found to have lowered the rate of these deliveries by as much as 14 percent, which led to gains of almost five days in gestational age and six ounces in birthweight among impacted newborns.</w:t>
      </w:r>
      <w:r w:rsidRPr="0076772C">
        <w:rPr>
          <w:rFonts w:cstheme="minorHAnsi"/>
          <w:vertAlign w:val="superscript"/>
        </w:rPr>
        <w:footnoteReference w:id="1"/>
      </w:r>
      <w:r w:rsidRPr="0076772C">
        <w:rPr>
          <w:rFonts w:cstheme="minorHAnsi"/>
          <w:sz w:val="24"/>
          <w:szCs w:val="24"/>
          <w:vertAlign w:val="superscript"/>
        </w:rPr>
        <w:t xml:space="preserve"> </w:t>
      </w:r>
      <w:r w:rsidRPr="0076772C">
        <w:rPr>
          <w:rFonts w:cstheme="minorHAnsi"/>
          <w:sz w:val="24"/>
          <w:szCs w:val="24"/>
        </w:rPr>
        <w:t xml:space="preserve"> Rather than integrating data on an ad hoc basis, as is </w:t>
      </w:r>
      <w:r w:rsidR="00922F74">
        <w:rPr>
          <w:rFonts w:cstheme="minorHAnsi"/>
          <w:sz w:val="24"/>
          <w:szCs w:val="24"/>
        </w:rPr>
        <w:t xml:space="preserve">often </w:t>
      </w:r>
      <w:r w:rsidRPr="006540FC">
        <w:rPr>
          <w:rFonts w:cstheme="minorHAnsi"/>
          <w:sz w:val="24"/>
          <w:szCs w:val="24"/>
        </w:rPr>
        <w:t xml:space="preserve">the </w:t>
      </w:r>
      <w:r w:rsidRPr="0076772C">
        <w:rPr>
          <w:rFonts w:cstheme="minorHAnsi"/>
          <w:sz w:val="24"/>
          <w:szCs w:val="24"/>
        </w:rPr>
        <w:t>current practice, an effective business intelligence platform would routinely link and analyze data across the many high value data sources maintained by HHS system agencies.</w:t>
      </w:r>
    </w:p>
    <w:p w14:paraId="6242820D" w14:textId="77777777" w:rsidR="006305D1" w:rsidRPr="006540FC" w:rsidRDefault="006305D1" w:rsidP="0076772C">
      <w:pPr>
        <w:spacing w:after="0" w:line="240" w:lineRule="auto"/>
        <w:rPr>
          <w:rFonts w:cstheme="minorHAnsi"/>
          <w:sz w:val="24"/>
          <w:szCs w:val="24"/>
        </w:rPr>
      </w:pPr>
    </w:p>
    <w:p w14:paraId="2C8405AA" w14:textId="33015299" w:rsidR="00427070" w:rsidRPr="0076772C" w:rsidRDefault="006305D1" w:rsidP="00427070">
      <w:pPr>
        <w:rPr>
          <w:rFonts w:cstheme="minorHAnsi"/>
          <w:sz w:val="24"/>
          <w:szCs w:val="24"/>
        </w:rPr>
      </w:pPr>
      <w:r w:rsidRPr="006540FC">
        <w:rPr>
          <w:rFonts w:cstheme="minorHAnsi"/>
          <w:sz w:val="24"/>
          <w:szCs w:val="24"/>
        </w:rPr>
        <w:t xml:space="preserve">However, better leveraging current data is just a start.  Ultimately, effective value-based </w:t>
      </w:r>
      <w:r w:rsidR="00AC1E0A">
        <w:rPr>
          <w:rFonts w:cstheme="minorHAnsi"/>
          <w:sz w:val="24"/>
          <w:szCs w:val="24"/>
        </w:rPr>
        <w:t xml:space="preserve">care and payment </w:t>
      </w:r>
      <w:r w:rsidRPr="006540FC">
        <w:rPr>
          <w:rFonts w:cstheme="minorHAnsi"/>
          <w:sz w:val="24"/>
          <w:szCs w:val="24"/>
        </w:rPr>
        <w:t>models will require metrics tha</w:t>
      </w:r>
      <w:r w:rsidR="00427070" w:rsidRPr="006540FC">
        <w:rPr>
          <w:rFonts w:cstheme="minorHAnsi"/>
          <w:sz w:val="24"/>
          <w:szCs w:val="24"/>
        </w:rPr>
        <w:t>t</w:t>
      </w:r>
      <w:r w:rsidR="00427070">
        <w:rPr>
          <w:rFonts w:cstheme="minorHAnsi"/>
          <w:sz w:val="24"/>
          <w:szCs w:val="24"/>
        </w:rPr>
        <w:t xml:space="preserve"> combine </w:t>
      </w:r>
      <w:r w:rsidR="008F3DFE">
        <w:rPr>
          <w:rFonts w:cstheme="minorHAnsi"/>
          <w:sz w:val="24"/>
          <w:szCs w:val="24"/>
        </w:rPr>
        <w:t xml:space="preserve">the </w:t>
      </w:r>
      <w:r w:rsidR="00427070">
        <w:rPr>
          <w:rFonts w:cstheme="minorHAnsi"/>
          <w:sz w:val="24"/>
          <w:szCs w:val="24"/>
        </w:rPr>
        <w:t xml:space="preserve">administrative data now widely available with </w:t>
      </w:r>
      <w:r w:rsidR="00427070" w:rsidRPr="006540FC">
        <w:rPr>
          <w:rFonts w:cstheme="minorHAnsi"/>
          <w:sz w:val="24"/>
          <w:szCs w:val="24"/>
        </w:rPr>
        <w:t xml:space="preserve">clinical and health risk data </w:t>
      </w:r>
      <w:r w:rsidR="007D370B">
        <w:rPr>
          <w:rFonts w:cstheme="minorHAnsi"/>
          <w:sz w:val="24"/>
          <w:szCs w:val="24"/>
        </w:rPr>
        <w:t>emerging</w:t>
      </w:r>
      <w:r w:rsidR="00427070" w:rsidRPr="006540FC">
        <w:rPr>
          <w:rFonts w:cstheme="minorHAnsi"/>
          <w:sz w:val="24"/>
          <w:szCs w:val="24"/>
        </w:rPr>
        <w:t xml:space="preserve"> through electronic health records</w:t>
      </w:r>
      <w:r w:rsidR="007D370B">
        <w:rPr>
          <w:rFonts w:cstheme="minorHAnsi"/>
          <w:sz w:val="24"/>
          <w:szCs w:val="24"/>
        </w:rPr>
        <w:t xml:space="preserve"> systems</w:t>
      </w:r>
      <w:r w:rsidR="00427070" w:rsidRPr="006540FC">
        <w:rPr>
          <w:rFonts w:cstheme="minorHAnsi"/>
          <w:sz w:val="24"/>
          <w:szCs w:val="24"/>
        </w:rPr>
        <w:t>.</w:t>
      </w:r>
      <w:r w:rsidRPr="006540FC">
        <w:rPr>
          <w:rFonts w:cstheme="minorHAnsi"/>
          <w:sz w:val="24"/>
          <w:szCs w:val="24"/>
        </w:rPr>
        <w:t xml:space="preserve">  </w:t>
      </w:r>
      <w:r w:rsidR="006D1327">
        <w:rPr>
          <w:rFonts w:cstheme="minorHAnsi"/>
          <w:sz w:val="24"/>
          <w:szCs w:val="24"/>
        </w:rPr>
        <w:t>As part of HHSC’s recently approval 1115 Tran</w:t>
      </w:r>
      <w:r w:rsidR="00AC1E0A">
        <w:rPr>
          <w:rFonts w:cstheme="minorHAnsi"/>
          <w:sz w:val="24"/>
          <w:szCs w:val="24"/>
        </w:rPr>
        <w:t>s</w:t>
      </w:r>
      <w:r w:rsidR="006D1327">
        <w:rPr>
          <w:rFonts w:cstheme="minorHAnsi"/>
          <w:sz w:val="24"/>
          <w:szCs w:val="24"/>
        </w:rPr>
        <w:t xml:space="preserve">formation Waiver renewal, CMS required that </w:t>
      </w:r>
      <w:r w:rsidR="00CF63E8">
        <w:rPr>
          <w:rFonts w:ascii="Times New Roman" w:hAnsi="Times New Roman" w:cs="Times New Roman"/>
          <w:color w:val="000000"/>
          <w:sz w:val="24"/>
          <w:szCs w:val="24"/>
        </w:rPr>
        <w:t xml:space="preserve">HHSC develop a plan as part of the demonstration to use Health IT to link services and core providers across the continuum of care to the greatest extent possible. </w:t>
      </w:r>
      <w:r w:rsidR="006D1327">
        <w:rPr>
          <w:rFonts w:cstheme="minorHAnsi"/>
          <w:sz w:val="24"/>
          <w:szCs w:val="24"/>
        </w:rPr>
        <w:t xml:space="preserve"> </w:t>
      </w:r>
      <w:r w:rsidR="007D370B">
        <w:rPr>
          <w:rFonts w:cstheme="minorHAnsi"/>
          <w:sz w:val="24"/>
          <w:szCs w:val="24"/>
        </w:rPr>
        <w:t>A</w:t>
      </w:r>
      <w:r w:rsidR="00427070" w:rsidRPr="0076772C">
        <w:rPr>
          <w:rFonts w:cstheme="minorHAnsi"/>
          <w:sz w:val="24"/>
          <w:szCs w:val="24"/>
        </w:rPr>
        <w:t xml:space="preserve">s value-based payment </w:t>
      </w:r>
      <w:r w:rsidR="00427070" w:rsidRPr="0076772C">
        <w:rPr>
          <w:rFonts w:cstheme="minorHAnsi"/>
          <w:sz w:val="24"/>
          <w:szCs w:val="24"/>
        </w:rPr>
        <w:lastRenderedPageBreak/>
        <w:t xml:space="preserve">and quality improvement systems become more advanced, indicators recommended by experts through organizations such as the National Quality Forum to identify high achievement in a field such as diabetes </w:t>
      </w:r>
      <w:r w:rsidR="00AC1E0A">
        <w:rPr>
          <w:rFonts w:cstheme="minorHAnsi"/>
          <w:sz w:val="24"/>
          <w:szCs w:val="24"/>
        </w:rPr>
        <w:t>include the following</w:t>
      </w:r>
      <w:r w:rsidR="00427070" w:rsidRPr="0076772C">
        <w:rPr>
          <w:rFonts w:cstheme="minorHAnsi"/>
          <w:sz w:val="24"/>
          <w:szCs w:val="24"/>
        </w:rPr>
        <w:t>:</w:t>
      </w:r>
    </w:p>
    <w:p w14:paraId="5FDA1589" w14:textId="77777777" w:rsidR="00427070" w:rsidRPr="0076772C" w:rsidRDefault="00427070" w:rsidP="00427070">
      <w:pPr>
        <w:pStyle w:val="ListParagraph"/>
        <w:numPr>
          <w:ilvl w:val="0"/>
          <w:numId w:val="15"/>
        </w:numPr>
        <w:spacing w:after="200" w:line="276" w:lineRule="auto"/>
        <w:rPr>
          <w:rFonts w:cstheme="minorHAnsi"/>
          <w:sz w:val="24"/>
          <w:szCs w:val="24"/>
        </w:rPr>
      </w:pPr>
      <w:r w:rsidRPr="0076772C">
        <w:rPr>
          <w:rFonts w:cstheme="minorHAnsi"/>
          <w:sz w:val="24"/>
          <w:szCs w:val="24"/>
        </w:rPr>
        <w:t>A patient’s most recent HbA1C in the measurement period has a value &lt; 8.0;</w:t>
      </w:r>
    </w:p>
    <w:p w14:paraId="4C790D3F" w14:textId="77777777" w:rsidR="00427070" w:rsidRPr="0076772C" w:rsidRDefault="00427070" w:rsidP="00427070">
      <w:pPr>
        <w:pStyle w:val="ListParagraph"/>
        <w:numPr>
          <w:ilvl w:val="0"/>
          <w:numId w:val="15"/>
        </w:numPr>
        <w:spacing w:after="200" w:line="276" w:lineRule="auto"/>
        <w:rPr>
          <w:rFonts w:cstheme="minorHAnsi"/>
          <w:sz w:val="24"/>
          <w:szCs w:val="24"/>
        </w:rPr>
      </w:pPr>
      <w:r w:rsidRPr="0076772C">
        <w:rPr>
          <w:rFonts w:cstheme="minorHAnsi"/>
          <w:sz w:val="24"/>
          <w:szCs w:val="24"/>
        </w:rPr>
        <w:t>The most recent blood pressure in the measurement period has a systolic value of &lt; 140 and a diastolic value &lt;90; and</w:t>
      </w:r>
    </w:p>
    <w:p w14:paraId="5AFE19FA" w14:textId="77777777" w:rsidR="00427070" w:rsidRPr="0076772C" w:rsidRDefault="00427070" w:rsidP="00427070">
      <w:pPr>
        <w:pStyle w:val="ListParagraph"/>
        <w:numPr>
          <w:ilvl w:val="0"/>
          <w:numId w:val="15"/>
        </w:numPr>
        <w:spacing w:after="200" w:line="276" w:lineRule="auto"/>
        <w:rPr>
          <w:rFonts w:cstheme="minorHAnsi"/>
          <w:sz w:val="24"/>
          <w:szCs w:val="24"/>
        </w:rPr>
      </w:pPr>
      <w:r w:rsidRPr="0076772C">
        <w:rPr>
          <w:rFonts w:cstheme="minorHAnsi"/>
          <w:sz w:val="24"/>
          <w:szCs w:val="24"/>
        </w:rPr>
        <w:t>The patient is currently a nonsmoker.</w:t>
      </w:r>
    </w:p>
    <w:p w14:paraId="613781D5" w14:textId="28A6408F" w:rsidR="00427070" w:rsidRPr="00C95820" w:rsidRDefault="00E179A1" w:rsidP="00C95820">
      <w:pPr>
        <w:pStyle w:val="NormalWeb"/>
        <w:rPr>
          <w:rFonts w:asciiTheme="minorHAnsi" w:hAnsiTheme="minorHAnsi" w:cstheme="minorHAnsi"/>
          <w:color w:val="000000"/>
        </w:rPr>
      </w:pPr>
      <w:r>
        <w:rPr>
          <w:rFonts w:cstheme="minorHAnsi"/>
        </w:rPr>
        <w:t>Measures, such as the one</w:t>
      </w:r>
      <w:r w:rsidR="00170D23">
        <w:rPr>
          <w:rFonts w:cstheme="minorHAnsi"/>
        </w:rPr>
        <w:t>s</w:t>
      </w:r>
      <w:r>
        <w:rPr>
          <w:rFonts w:cstheme="minorHAnsi"/>
        </w:rPr>
        <w:t xml:space="preserve"> above,</w:t>
      </w:r>
      <w:r w:rsidR="007D370B" w:rsidRPr="006540FC">
        <w:rPr>
          <w:rFonts w:cstheme="minorHAnsi"/>
        </w:rPr>
        <w:t xml:space="preserve"> that incorporate </w:t>
      </w:r>
      <w:r w:rsidR="00427070" w:rsidRPr="0076772C">
        <w:rPr>
          <w:rFonts w:cstheme="minorHAnsi"/>
        </w:rPr>
        <w:t>clinical and health risk data such as blood pressure control and tobacco</w:t>
      </w:r>
      <w:r w:rsidR="00C57B30">
        <w:rPr>
          <w:rFonts w:cstheme="minorHAnsi"/>
        </w:rPr>
        <w:t xml:space="preserve"> use</w:t>
      </w:r>
      <w:r w:rsidR="00427070" w:rsidRPr="0076772C">
        <w:rPr>
          <w:rFonts w:cstheme="minorHAnsi"/>
        </w:rPr>
        <w:t xml:space="preserve"> </w:t>
      </w:r>
      <w:r w:rsidR="007D370B">
        <w:rPr>
          <w:rFonts w:cstheme="minorHAnsi"/>
        </w:rPr>
        <w:t>a</w:t>
      </w:r>
      <w:r w:rsidR="00427070" w:rsidRPr="0076772C">
        <w:rPr>
          <w:rFonts w:cstheme="minorHAnsi"/>
        </w:rPr>
        <w:t xml:space="preserve">re needed to truly understand and improve the effectiveness of care delivery. Ultimately, individuals and the public will benefit from the timely computation, analysis, and reporting of enhanced quality indicators based on combined clinical and administrative data because it paves the way to a more accountable, learning healthcare </w:t>
      </w:r>
      <w:r w:rsidR="00427070" w:rsidRPr="00C95820">
        <w:rPr>
          <w:rFonts w:asciiTheme="minorHAnsi" w:hAnsiTheme="minorHAnsi" w:cstheme="minorHAnsi"/>
          <w:color w:val="000000"/>
        </w:rPr>
        <w:t>system.</w:t>
      </w:r>
    </w:p>
    <w:p w14:paraId="297CA571" w14:textId="77777777" w:rsidR="00595B79" w:rsidRPr="00C95820" w:rsidRDefault="009D4888" w:rsidP="00C95820">
      <w:pPr>
        <w:pStyle w:val="NormalWeb"/>
        <w:rPr>
          <w:rFonts w:asciiTheme="minorHAnsi" w:hAnsiTheme="minorHAnsi" w:cstheme="minorHAnsi"/>
          <w:color w:val="000000"/>
        </w:rPr>
      </w:pPr>
      <w:r w:rsidRPr="00C95820">
        <w:rPr>
          <w:rFonts w:asciiTheme="minorHAnsi" w:hAnsiTheme="minorHAnsi" w:cstheme="minorHAnsi"/>
          <w:color w:val="000000"/>
        </w:rPr>
        <w:t xml:space="preserve">  </w:t>
      </w:r>
    </w:p>
    <w:p w14:paraId="120F0C25" w14:textId="7A3F6DA5" w:rsidR="007B7141" w:rsidRDefault="007B7141" w:rsidP="007B7141">
      <w:pPr>
        <w:spacing w:after="0" w:line="240" w:lineRule="auto"/>
        <w:rPr>
          <w:rFonts w:ascii="Verdana" w:hAnsi="Verdana"/>
          <w:b/>
          <w:sz w:val="20"/>
          <w:szCs w:val="20"/>
        </w:rPr>
      </w:pPr>
      <w:r>
        <w:rPr>
          <w:rFonts w:ascii="Verdana" w:hAnsi="Verdana"/>
          <w:b/>
          <w:sz w:val="20"/>
          <w:szCs w:val="20"/>
        </w:rPr>
        <w:t>Recommendation #</w:t>
      </w:r>
      <w:r w:rsidR="00170D23">
        <w:rPr>
          <w:rFonts w:ascii="Verdana" w:hAnsi="Verdana"/>
          <w:b/>
          <w:sz w:val="20"/>
          <w:szCs w:val="20"/>
        </w:rPr>
        <w:t>2</w:t>
      </w:r>
      <w:r>
        <w:rPr>
          <w:rFonts w:ascii="Verdana" w:hAnsi="Verdana"/>
          <w:b/>
          <w:sz w:val="20"/>
          <w:szCs w:val="20"/>
        </w:rPr>
        <w:t>:</w:t>
      </w:r>
    </w:p>
    <w:p w14:paraId="66519F69" w14:textId="77777777" w:rsidR="00595B79" w:rsidRDefault="00595B79" w:rsidP="007B7141">
      <w:pPr>
        <w:spacing w:after="0" w:line="240" w:lineRule="auto"/>
        <w:rPr>
          <w:rFonts w:ascii="Verdana" w:hAnsi="Verdana"/>
          <w:b/>
          <w:sz w:val="20"/>
          <w:szCs w:val="20"/>
        </w:rPr>
      </w:pPr>
    </w:p>
    <w:p w14:paraId="645D7348" w14:textId="0E9B3659" w:rsidR="00595B79" w:rsidRDefault="00994452" w:rsidP="007B7141">
      <w:pPr>
        <w:spacing w:after="0" w:line="240" w:lineRule="auto"/>
        <w:rPr>
          <w:i/>
          <w:sz w:val="24"/>
          <w:szCs w:val="24"/>
        </w:rPr>
      </w:pPr>
      <w:r>
        <w:rPr>
          <w:i/>
          <w:sz w:val="24"/>
          <w:szCs w:val="24"/>
        </w:rPr>
        <w:t>HHSC should work with stakeholders</w:t>
      </w:r>
      <w:r w:rsidR="004C5A0C">
        <w:rPr>
          <w:i/>
          <w:sz w:val="24"/>
          <w:szCs w:val="24"/>
        </w:rPr>
        <w:t xml:space="preserve"> to </w:t>
      </w:r>
      <w:r w:rsidR="00765EA5">
        <w:rPr>
          <w:i/>
          <w:sz w:val="24"/>
          <w:szCs w:val="24"/>
        </w:rPr>
        <w:t>better</w:t>
      </w:r>
      <w:r w:rsidR="004C5A0C">
        <w:rPr>
          <w:i/>
          <w:sz w:val="24"/>
          <w:szCs w:val="24"/>
        </w:rPr>
        <w:t xml:space="preserve"> l</w:t>
      </w:r>
      <w:r w:rsidR="00681FC1" w:rsidRPr="00681FC1">
        <w:rPr>
          <w:i/>
          <w:sz w:val="24"/>
          <w:szCs w:val="24"/>
        </w:rPr>
        <w:t xml:space="preserve">everage the Texas Healthcare Learning Collaborative portal </w:t>
      </w:r>
      <w:r w:rsidR="00170D23">
        <w:rPr>
          <w:i/>
          <w:sz w:val="24"/>
          <w:szCs w:val="24"/>
        </w:rPr>
        <w:t xml:space="preserve">(and other tools as appropriate) </w:t>
      </w:r>
      <w:r w:rsidR="00681FC1" w:rsidRPr="00681FC1">
        <w:rPr>
          <w:i/>
          <w:sz w:val="24"/>
          <w:szCs w:val="24"/>
        </w:rPr>
        <w:t xml:space="preserve">to increase data </w:t>
      </w:r>
      <w:r w:rsidR="00EF58F8">
        <w:rPr>
          <w:i/>
          <w:sz w:val="24"/>
          <w:szCs w:val="24"/>
        </w:rPr>
        <w:t xml:space="preserve">available to health plans and providers </w:t>
      </w:r>
      <w:r w:rsidR="00681FC1" w:rsidRPr="00681FC1">
        <w:rPr>
          <w:i/>
          <w:sz w:val="24"/>
          <w:szCs w:val="24"/>
        </w:rPr>
        <w:t>for core metrics</w:t>
      </w:r>
      <w:r w:rsidR="0072269D">
        <w:rPr>
          <w:i/>
          <w:sz w:val="24"/>
          <w:szCs w:val="24"/>
        </w:rPr>
        <w:t xml:space="preserve">, </w:t>
      </w:r>
      <w:r w:rsidR="00681FC1" w:rsidRPr="00681FC1">
        <w:rPr>
          <w:i/>
          <w:sz w:val="24"/>
          <w:szCs w:val="24"/>
        </w:rPr>
        <w:t xml:space="preserve"> analytics</w:t>
      </w:r>
      <w:r w:rsidR="0072269D">
        <w:rPr>
          <w:i/>
          <w:sz w:val="24"/>
          <w:szCs w:val="24"/>
        </w:rPr>
        <w:t>, and care coordination</w:t>
      </w:r>
      <w:r w:rsidR="00681FC1" w:rsidRPr="00681FC1">
        <w:rPr>
          <w:i/>
          <w:sz w:val="24"/>
          <w:szCs w:val="24"/>
        </w:rPr>
        <w:t xml:space="preserve"> to support value-based purchasing and quality improvement.</w:t>
      </w:r>
      <w:r w:rsidR="00170D23">
        <w:rPr>
          <w:i/>
          <w:sz w:val="24"/>
          <w:szCs w:val="24"/>
        </w:rPr>
        <w:t xml:space="preserve"> </w:t>
      </w:r>
    </w:p>
    <w:p w14:paraId="701C7FD3" w14:textId="77777777" w:rsidR="00681FC1" w:rsidRDefault="00681FC1" w:rsidP="007B7141">
      <w:pPr>
        <w:spacing w:after="0" w:line="240" w:lineRule="auto"/>
        <w:rPr>
          <w:i/>
          <w:sz w:val="24"/>
          <w:szCs w:val="24"/>
        </w:rPr>
      </w:pPr>
    </w:p>
    <w:p w14:paraId="539EA239" w14:textId="6320703B" w:rsidR="004A1980" w:rsidRDefault="00681FC1" w:rsidP="004A1980">
      <w:pPr>
        <w:spacing w:after="0" w:line="240" w:lineRule="auto"/>
        <w:rPr>
          <w:sz w:val="24"/>
          <w:szCs w:val="24"/>
        </w:rPr>
      </w:pPr>
      <w:r>
        <w:rPr>
          <w:sz w:val="24"/>
          <w:szCs w:val="24"/>
        </w:rPr>
        <w:t>Background:</w:t>
      </w:r>
      <w:r w:rsidR="00F902A8">
        <w:rPr>
          <w:sz w:val="24"/>
          <w:szCs w:val="24"/>
        </w:rPr>
        <w:t xml:space="preserve"> It is widely accepted that information sharing, transparent communication, and many levels of data sharing are critical for payers and providers to succeed in value-based purchasing. </w:t>
      </w:r>
      <w:r w:rsidR="004A1980" w:rsidRPr="0076772C">
        <w:rPr>
          <w:sz w:val="24"/>
          <w:szCs w:val="24"/>
        </w:rPr>
        <w:t>Health plans and providers both need timely, actionable data to improve patient care. This data includes patient-level d</w:t>
      </w:r>
      <w:r w:rsidR="004A1980" w:rsidRPr="0025000C">
        <w:rPr>
          <w:sz w:val="24"/>
          <w:szCs w:val="24"/>
        </w:rPr>
        <w:t xml:space="preserve">ata to manage individual patients and </w:t>
      </w:r>
      <w:r w:rsidR="00F64DA1">
        <w:rPr>
          <w:sz w:val="24"/>
          <w:szCs w:val="24"/>
        </w:rPr>
        <w:t>dashboard-</w:t>
      </w:r>
      <w:r w:rsidR="004A1980">
        <w:rPr>
          <w:sz w:val="24"/>
          <w:szCs w:val="24"/>
        </w:rPr>
        <w:t>level data for plans and providers to see how their performance compares to their peers</w:t>
      </w:r>
      <w:r w:rsidR="00F64DA1">
        <w:rPr>
          <w:sz w:val="24"/>
          <w:szCs w:val="24"/>
        </w:rPr>
        <w:t xml:space="preserve"> for care improvement purposes</w:t>
      </w:r>
      <w:r w:rsidR="004A1980">
        <w:rPr>
          <w:sz w:val="24"/>
          <w:szCs w:val="24"/>
        </w:rPr>
        <w:t>.</w:t>
      </w:r>
    </w:p>
    <w:p w14:paraId="6E7E701B" w14:textId="77777777" w:rsidR="00F64DA1" w:rsidRDefault="00F64DA1" w:rsidP="004A1980">
      <w:pPr>
        <w:spacing w:after="0" w:line="240" w:lineRule="auto"/>
        <w:rPr>
          <w:i/>
          <w:sz w:val="24"/>
          <w:szCs w:val="24"/>
        </w:rPr>
      </w:pPr>
    </w:p>
    <w:p w14:paraId="5A573BCC" w14:textId="7380B06C" w:rsidR="00F64DA1" w:rsidRDefault="00F902A8" w:rsidP="007B7141">
      <w:pPr>
        <w:spacing w:after="0" w:line="240" w:lineRule="auto"/>
        <w:rPr>
          <w:sz w:val="24"/>
          <w:szCs w:val="24"/>
        </w:rPr>
      </w:pPr>
      <w:r>
        <w:rPr>
          <w:sz w:val="24"/>
          <w:szCs w:val="24"/>
        </w:rPr>
        <w:t>HHSC and its EQRO created the Texas Healthcare Learning Collaborative portal</w:t>
      </w:r>
      <w:r w:rsidR="00F56C2B">
        <w:rPr>
          <w:sz w:val="24"/>
          <w:szCs w:val="24"/>
        </w:rPr>
        <w:t>,</w:t>
      </w:r>
      <w:r w:rsidR="005C4420">
        <w:rPr>
          <w:sz w:val="24"/>
          <w:szCs w:val="24"/>
        </w:rPr>
        <w:t xml:space="preserve"> which contains valuable information about regional and plan performance on key quality measures. HHSC and managed care plans have a private user view into the data based on permissions. Some data is available to public users,</w:t>
      </w:r>
      <w:r w:rsidR="004A4A51">
        <w:rPr>
          <w:sz w:val="24"/>
          <w:szCs w:val="24"/>
        </w:rPr>
        <w:t xml:space="preserve"> </w:t>
      </w:r>
      <w:r w:rsidR="005C4420">
        <w:rPr>
          <w:sz w:val="24"/>
          <w:szCs w:val="24"/>
        </w:rPr>
        <w:t>includ</w:t>
      </w:r>
      <w:r w:rsidR="004A4A51">
        <w:rPr>
          <w:sz w:val="24"/>
          <w:szCs w:val="24"/>
        </w:rPr>
        <w:t>ing</w:t>
      </w:r>
      <w:r w:rsidR="005C4420">
        <w:rPr>
          <w:sz w:val="24"/>
          <w:szCs w:val="24"/>
        </w:rPr>
        <w:t xml:space="preserve"> providers. This limits the ability of providers to have data needed </w:t>
      </w:r>
      <w:r w:rsidR="00922F74">
        <w:rPr>
          <w:sz w:val="24"/>
          <w:szCs w:val="24"/>
        </w:rPr>
        <w:t>to identify</w:t>
      </w:r>
      <w:r w:rsidR="005C4420">
        <w:rPr>
          <w:sz w:val="24"/>
          <w:szCs w:val="24"/>
        </w:rPr>
        <w:t xml:space="preserve"> value-based purchasing initiatives to develop and pursue with health plans.</w:t>
      </w:r>
      <w:r w:rsidR="004C5A0C">
        <w:rPr>
          <w:sz w:val="24"/>
          <w:szCs w:val="24"/>
        </w:rPr>
        <w:t xml:space="preserve"> </w:t>
      </w:r>
    </w:p>
    <w:p w14:paraId="63586155" w14:textId="52DD2211" w:rsidR="00F64DA1" w:rsidRDefault="00F64DA1" w:rsidP="007B7141">
      <w:pPr>
        <w:spacing w:after="0" w:line="240" w:lineRule="auto"/>
        <w:rPr>
          <w:sz w:val="24"/>
          <w:szCs w:val="24"/>
        </w:rPr>
      </w:pPr>
    </w:p>
    <w:p w14:paraId="0857DFBE" w14:textId="2C2BC557" w:rsidR="003B11F5" w:rsidRDefault="00FE4810" w:rsidP="0076772C">
      <w:pPr>
        <w:rPr>
          <w:sz w:val="24"/>
          <w:szCs w:val="24"/>
        </w:rPr>
      </w:pPr>
      <w:r>
        <w:rPr>
          <w:sz w:val="24"/>
          <w:szCs w:val="24"/>
        </w:rPr>
        <w:t xml:space="preserve">Some MCOs are working with select providers (generally higher volume providers ready to engage in value based purchasing/alternative payment models [VBP/APMs]) to supply them with periodic dashboard and patient-level information to help them improve performance on key measures (e.g. well child visits, </w:t>
      </w:r>
      <w:r w:rsidR="0045518C" w:rsidRPr="00FE4810">
        <w:rPr>
          <w:sz w:val="24"/>
          <w:szCs w:val="24"/>
        </w:rPr>
        <w:t>po</w:t>
      </w:r>
      <w:r w:rsidR="003B11F5">
        <w:rPr>
          <w:sz w:val="24"/>
          <w:szCs w:val="24"/>
        </w:rPr>
        <w:t>tentially preventable ED visits</w:t>
      </w:r>
      <w:r w:rsidR="0045518C" w:rsidRPr="00FE4810">
        <w:rPr>
          <w:sz w:val="24"/>
          <w:szCs w:val="24"/>
        </w:rPr>
        <w:t>, prenatal/postpartum care, diabetes care, total cost of care</w:t>
      </w:r>
      <w:r w:rsidR="003B11F5">
        <w:rPr>
          <w:sz w:val="24"/>
          <w:szCs w:val="24"/>
        </w:rPr>
        <w:t>). As more providers seek to participate in APMs with Medicaid MCOs</w:t>
      </w:r>
      <w:r w:rsidR="00922F74">
        <w:rPr>
          <w:sz w:val="24"/>
          <w:szCs w:val="24"/>
        </w:rPr>
        <w:t>,</w:t>
      </w:r>
      <w:r w:rsidR="003B11F5">
        <w:rPr>
          <w:sz w:val="24"/>
          <w:szCs w:val="24"/>
        </w:rPr>
        <w:t xml:space="preserve"> and MCOs strive to meet the APM thresholds in their contracts, it would be beneficial </w:t>
      </w:r>
      <w:r w:rsidR="003B11F5">
        <w:rPr>
          <w:sz w:val="24"/>
          <w:szCs w:val="24"/>
        </w:rPr>
        <w:lastRenderedPageBreak/>
        <w:t>for all Medicaid providers to have a</w:t>
      </w:r>
      <w:r w:rsidR="00EC2DB1">
        <w:rPr>
          <w:sz w:val="24"/>
          <w:szCs w:val="24"/>
        </w:rPr>
        <w:t xml:space="preserve">ccess to </w:t>
      </w:r>
      <w:r w:rsidR="003B11F5">
        <w:rPr>
          <w:sz w:val="24"/>
          <w:szCs w:val="24"/>
        </w:rPr>
        <w:t xml:space="preserve">patient-level information and dashboard information to support better patient care and care coordination. </w:t>
      </w:r>
      <w:r w:rsidR="00EC2DB1">
        <w:rPr>
          <w:sz w:val="24"/>
          <w:szCs w:val="24"/>
        </w:rPr>
        <w:t>Such information also is critical to DSRIP providers, who in the next two years will be earning most of their funds based on whether their Medicaid and low income/uninsured patients show improvement on key measures such as diabetes foot exams, breast cancer screening, and flu vaccines.</w:t>
      </w:r>
    </w:p>
    <w:p w14:paraId="1060A65C" w14:textId="5FD42AAF" w:rsidR="00681FC1" w:rsidRPr="00C95820" w:rsidRDefault="003B11F5" w:rsidP="00C95820">
      <w:pPr>
        <w:pStyle w:val="NormalWeb"/>
        <w:rPr>
          <w:rFonts w:asciiTheme="minorHAnsi" w:hAnsiTheme="minorHAnsi" w:cstheme="minorHAnsi"/>
          <w:color w:val="000000"/>
        </w:rPr>
      </w:pPr>
      <w:r>
        <w:t xml:space="preserve">HHSC should work with its MCOs and providers on next steps related to getting providers such data. </w:t>
      </w:r>
      <w:r w:rsidR="004C5A0C">
        <w:t xml:space="preserve">Recommendations provided would need to include the cost </w:t>
      </w:r>
      <w:r w:rsidR="004A4A51">
        <w:t xml:space="preserve">of </w:t>
      </w:r>
      <w:r w:rsidR="004C5A0C">
        <w:t xml:space="preserve">making </w:t>
      </w:r>
      <w:r w:rsidR="004A4A51">
        <w:t xml:space="preserve">additional </w:t>
      </w:r>
      <w:r w:rsidR="004C5A0C">
        <w:t xml:space="preserve">data </w:t>
      </w:r>
      <w:r w:rsidR="004C5A0C" w:rsidRPr="00C95820">
        <w:rPr>
          <w:rFonts w:asciiTheme="minorHAnsi" w:hAnsiTheme="minorHAnsi" w:cstheme="minorHAnsi"/>
          <w:color w:val="000000"/>
        </w:rPr>
        <w:t>available.</w:t>
      </w:r>
    </w:p>
    <w:p w14:paraId="1915D7D7" w14:textId="77777777" w:rsidR="00765EA5" w:rsidRPr="00C95820" w:rsidRDefault="00765EA5" w:rsidP="00C95820">
      <w:pPr>
        <w:pStyle w:val="NormalWeb"/>
        <w:rPr>
          <w:rFonts w:asciiTheme="minorHAnsi" w:hAnsiTheme="minorHAnsi" w:cstheme="minorHAnsi"/>
          <w:color w:val="000000"/>
        </w:rPr>
      </w:pPr>
    </w:p>
    <w:p w14:paraId="760612CB" w14:textId="49CEB2E7" w:rsidR="00C24801" w:rsidRDefault="00C24801" w:rsidP="00C24801">
      <w:pPr>
        <w:spacing w:after="0" w:line="240" w:lineRule="auto"/>
        <w:rPr>
          <w:rFonts w:ascii="Verdana" w:hAnsi="Verdana"/>
          <w:b/>
          <w:sz w:val="20"/>
          <w:szCs w:val="20"/>
        </w:rPr>
      </w:pPr>
      <w:r>
        <w:rPr>
          <w:rFonts w:ascii="Verdana" w:hAnsi="Verdana"/>
          <w:b/>
          <w:sz w:val="20"/>
          <w:szCs w:val="20"/>
        </w:rPr>
        <w:t>Recommendation #</w:t>
      </w:r>
      <w:r w:rsidR="00EC2DB1">
        <w:rPr>
          <w:rFonts w:ascii="Verdana" w:hAnsi="Verdana"/>
          <w:b/>
          <w:sz w:val="20"/>
          <w:szCs w:val="20"/>
        </w:rPr>
        <w:t>3</w:t>
      </w:r>
      <w:r>
        <w:rPr>
          <w:rFonts w:ascii="Verdana" w:hAnsi="Verdana"/>
          <w:b/>
          <w:sz w:val="20"/>
          <w:szCs w:val="20"/>
        </w:rPr>
        <w:t>:</w:t>
      </w:r>
    </w:p>
    <w:p w14:paraId="620BDEB8" w14:textId="77777777" w:rsidR="00C24801" w:rsidRDefault="00C24801" w:rsidP="00C24801">
      <w:pPr>
        <w:spacing w:after="0" w:line="240" w:lineRule="auto"/>
        <w:rPr>
          <w:rFonts w:ascii="Verdana" w:hAnsi="Verdana"/>
          <w:b/>
          <w:sz w:val="20"/>
          <w:szCs w:val="20"/>
        </w:rPr>
      </w:pPr>
    </w:p>
    <w:p w14:paraId="7C6C251D" w14:textId="19B221D6" w:rsidR="00C24801" w:rsidRPr="0092096B" w:rsidRDefault="00C24801" w:rsidP="00C24801">
      <w:pPr>
        <w:rPr>
          <w:rFonts w:eastAsia="Times New Roman" w:cstheme="minorHAnsi"/>
          <w:i/>
          <w:color w:val="000000"/>
          <w:sz w:val="24"/>
          <w:szCs w:val="24"/>
        </w:rPr>
      </w:pPr>
      <w:r w:rsidRPr="0092096B">
        <w:rPr>
          <w:rFonts w:eastAsia="Times New Roman" w:cstheme="minorHAnsi"/>
          <w:i/>
          <w:color w:val="000000"/>
          <w:sz w:val="24"/>
          <w:szCs w:val="24"/>
        </w:rPr>
        <w:t>HHSC should develop guidance for MCOs and providers on how to leverage the Quality Improvement cost strategy available in managed care to provide patient navigation services to patients with high needs and high utilization patterns.</w:t>
      </w:r>
    </w:p>
    <w:p w14:paraId="5BD8B56E" w14:textId="2F98F4E8" w:rsidR="00C24801" w:rsidRPr="00A167FC" w:rsidRDefault="00C24801" w:rsidP="00C24801">
      <w:pPr>
        <w:rPr>
          <w:rFonts w:eastAsia="Times New Roman" w:cstheme="minorHAnsi"/>
          <w:color w:val="000000"/>
          <w:sz w:val="24"/>
          <w:szCs w:val="24"/>
        </w:rPr>
      </w:pPr>
      <w:r>
        <w:rPr>
          <w:rFonts w:eastAsia="Times New Roman" w:cstheme="minorHAnsi"/>
          <w:color w:val="000000"/>
          <w:sz w:val="24"/>
          <w:szCs w:val="24"/>
        </w:rPr>
        <w:t>Background:</w:t>
      </w:r>
      <w:r w:rsidR="00A167FC">
        <w:rPr>
          <w:rFonts w:eastAsia="Times New Roman" w:cstheme="minorHAnsi"/>
          <w:color w:val="000000"/>
          <w:sz w:val="24"/>
          <w:szCs w:val="24"/>
        </w:rPr>
        <w:t xml:space="preserve"> </w:t>
      </w:r>
      <w:r w:rsidRPr="00FF57BA">
        <w:rPr>
          <w:rFonts w:cstheme="minorHAnsi"/>
          <w:sz w:val="24"/>
          <w:szCs w:val="23"/>
        </w:rPr>
        <w:t>Federal law (</w:t>
      </w:r>
      <w:hyperlink r:id="rId8" w:history="1">
        <w:r w:rsidRPr="00FF57BA">
          <w:rPr>
            <w:rStyle w:val="Hyperlink"/>
            <w:rFonts w:eastAsia="Times New Roman" w:cstheme="minorHAnsi"/>
            <w:color w:val="0563C1"/>
            <w:sz w:val="24"/>
            <w:szCs w:val="23"/>
          </w:rPr>
          <w:t>45 CFR Sec. 158.150</w:t>
        </w:r>
      </w:hyperlink>
      <w:r w:rsidR="00E65ADF">
        <w:rPr>
          <w:rStyle w:val="Hyperlink"/>
          <w:rFonts w:eastAsia="Times New Roman" w:cstheme="minorHAnsi"/>
          <w:color w:val="0563C1"/>
          <w:sz w:val="24"/>
          <w:szCs w:val="23"/>
        </w:rPr>
        <w:t>-151</w:t>
      </w:r>
      <w:r w:rsidRPr="00FF57BA">
        <w:rPr>
          <w:rStyle w:val="Hyperlink"/>
          <w:rFonts w:eastAsia="Times New Roman" w:cstheme="minorHAnsi"/>
          <w:color w:val="0563C1"/>
          <w:sz w:val="24"/>
          <w:szCs w:val="23"/>
        </w:rPr>
        <w:t>)</w:t>
      </w:r>
      <w:r w:rsidRPr="00FF57BA">
        <w:rPr>
          <w:rFonts w:cstheme="minorHAnsi"/>
          <w:sz w:val="24"/>
          <w:szCs w:val="23"/>
        </w:rPr>
        <w:t xml:space="preserve"> includes a provision to allow certain quality</w:t>
      </w:r>
      <w:r w:rsidR="004C6A2F">
        <w:rPr>
          <w:rFonts w:cstheme="minorHAnsi"/>
          <w:sz w:val="24"/>
          <w:szCs w:val="23"/>
        </w:rPr>
        <w:t>-related</w:t>
      </w:r>
      <w:r w:rsidRPr="00FF57BA">
        <w:rPr>
          <w:rFonts w:cstheme="minorHAnsi"/>
          <w:sz w:val="24"/>
          <w:szCs w:val="23"/>
        </w:rPr>
        <w:t xml:space="preserve"> costs to be treated as medical expenses. </w:t>
      </w:r>
      <w:r w:rsidR="00E179A1">
        <w:rPr>
          <w:rFonts w:cstheme="minorHAnsi"/>
          <w:sz w:val="24"/>
          <w:szCs w:val="23"/>
        </w:rPr>
        <w:t>This provision recognizes the increasing evidence that targeted non</w:t>
      </w:r>
      <w:r w:rsidR="000D5CA3">
        <w:rPr>
          <w:rFonts w:cstheme="minorHAnsi"/>
          <w:sz w:val="24"/>
          <w:szCs w:val="23"/>
        </w:rPr>
        <w:t>-</w:t>
      </w:r>
      <w:r w:rsidR="00E179A1">
        <w:rPr>
          <w:rFonts w:cstheme="minorHAnsi"/>
          <w:sz w:val="24"/>
          <w:szCs w:val="23"/>
        </w:rPr>
        <w:t xml:space="preserve">clinical </w:t>
      </w:r>
      <w:r w:rsidR="002C1E27">
        <w:rPr>
          <w:rFonts w:cstheme="minorHAnsi"/>
          <w:sz w:val="24"/>
          <w:szCs w:val="23"/>
        </w:rPr>
        <w:t>interventions</w:t>
      </w:r>
      <w:r w:rsidR="00E179A1">
        <w:rPr>
          <w:rFonts w:cstheme="minorHAnsi"/>
          <w:sz w:val="24"/>
          <w:szCs w:val="23"/>
        </w:rPr>
        <w:t xml:space="preserve"> can have a substantial impact on improving health outcomes and</w:t>
      </w:r>
      <w:r w:rsidR="002C1E27">
        <w:rPr>
          <w:rFonts w:cstheme="minorHAnsi"/>
          <w:sz w:val="24"/>
          <w:szCs w:val="23"/>
        </w:rPr>
        <w:t xml:space="preserve"> lowering medical</w:t>
      </w:r>
      <w:r w:rsidR="00E179A1">
        <w:rPr>
          <w:rFonts w:cstheme="minorHAnsi"/>
          <w:sz w:val="24"/>
          <w:szCs w:val="23"/>
        </w:rPr>
        <w:t xml:space="preserve"> spending, particularly for low income populations and </w:t>
      </w:r>
      <w:r w:rsidR="002C1E27">
        <w:rPr>
          <w:rFonts w:cstheme="minorHAnsi"/>
          <w:sz w:val="24"/>
          <w:szCs w:val="23"/>
        </w:rPr>
        <w:t>individuals with serious mental illness and other complex health risks</w:t>
      </w:r>
      <w:r w:rsidR="00E179A1">
        <w:rPr>
          <w:rFonts w:cstheme="minorHAnsi"/>
          <w:sz w:val="24"/>
          <w:szCs w:val="23"/>
        </w:rPr>
        <w:t xml:space="preserve">.  </w:t>
      </w:r>
      <w:r w:rsidRPr="00FF57BA">
        <w:rPr>
          <w:rFonts w:cstheme="minorHAnsi"/>
          <w:sz w:val="24"/>
          <w:szCs w:val="23"/>
        </w:rPr>
        <w:t>This is a potential strategy for MCOs</w:t>
      </w:r>
      <w:r w:rsidRPr="00FF57BA">
        <w:rPr>
          <w:rFonts w:eastAsia="Times New Roman" w:cstheme="minorHAnsi"/>
          <w:color w:val="000000"/>
          <w:sz w:val="24"/>
          <w:szCs w:val="23"/>
        </w:rPr>
        <w:t xml:space="preserve"> to support high-value, non-billable services</w:t>
      </w:r>
      <w:r>
        <w:rPr>
          <w:rFonts w:eastAsia="Times New Roman" w:cstheme="minorHAnsi"/>
          <w:color w:val="000000"/>
          <w:sz w:val="24"/>
          <w:szCs w:val="23"/>
        </w:rPr>
        <w:t xml:space="preserve">. </w:t>
      </w:r>
      <w:r w:rsidRPr="00EA2CBF">
        <w:rPr>
          <w:rFonts w:eastAsia="Times New Roman" w:cstheme="minorHAnsi"/>
          <w:color w:val="000000"/>
          <w:sz w:val="23"/>
          <w:szCs w:val="23"/>
        </w:rPr>
        <w:t xml:space="preserve">Information </w:t>
      </w:r>
      <w:r>
        <w:rPr>
          <w:rFonts w:eastAsia="Times New Roman" w:cstheme="minorHAnsi"/>
          <w:color w:val="000000"/>
          <w:sz w:val="23"/>
          <w:szCs w:val="23"/>
        </w:rPr>
        <w:t xml:space="preserve">on quality improvement costs </w:t>
      </w:r>
      <w:r w:rsidRPr="00EA2CBF">
        <w:rPr>
          <w:rFonts w:eastAsia="Times New Roman" w:cstheme="minorHAnsi"/>
          <w:color w:val="000000"/>
          <w:sz w:val="23"/>
          <w:szCs w:val="23"/>
        </w:rPr>
        <w:t xml:space="preserve">is provided in the </w:t>
      </w:r>
      <w:r>
        <w:rPr>
          <w:rFonts w:eastAsia="Times New Roman" w:cstheme="minorHAnsi"/>
          <w:color w:val="000000"/>
          <w:sz w:val="23"/>
          <w:szCs w:val="23"/>
        </w:rPr>
        <w:t xml:space="preserve">Texas </w:t>
      </w:r>
      <w:r w:rsidRPr="00EA2CBF">
        <w:rPr>
          <w:rFonts w:eastAsia="Times New Roman" w:cstheme="minorHAnsi"/>
          <w:color w:val="000000"/>
          <w:sz w:val="23"/>
          <w:szCs w:val="23"/>
        </w:rPr>
        <w:t xml:space="preserve">MCO contract. However, MCOs and providers have requested additional clarification so that future auditing would not result in costs disallowed. </w:t>
      </w:r>
      <w:r w:rsidRPr="0092096B">
        <w:rPr>
          <w:rFonts w:eastAsia="Times New Roman" w:cstheme="minorHAnsi"/>
          <w:color w:val="000000"/>
          <w:sz w:val="24"/>
          <w:szCs w:val="24"/>
        </w:rPr>
        <w:t>An initial area of focus could be on patient navigation services, including patients with high utilization patterns.</w:t>
      </w:r>
    </w:p>
    <w:p w14:paraId="23B52C62" w14:textId="2926C52A" w:rsidR="00C24801" w:rsidRPr="00C95820" w:rsidRDefault="00C24801" w:rsidP="00C95820">
      <w:pPr>
        <w:pStyle w:val="NormalWeb"/>
        <w:rPr>
          <w:rFonts w:asciiTheme="minorHAnsi" w:hAnsiTheme="minorHAnsi" w:cstheme="minorHAnsi"/>
          <w:color w:val="000000"/>
        </w:rPr>
      </w:pPr>
      <w:r>
        <w:rPr>
          <w:rFonts w:cstheme="minorHAnsi"/>
          <w:color w:val="000000"/>
        </w:rPr>
        <w:t>P</w:t>
      </w:r>
      <w:r w:rsidRPr="0092096B">
        <w:rPr>
          <w:rFonts w:cstheme="minorHAnsi"/>
          <w:color w:val="000000"/>
        </w:rPr>
        <w:t>roviders and MCOs may have data</w:t>
      </w:r>
      <w:r w:rsidR="00E65ADF">
        <w:rPr>
          <w:rFonts w:cstheme="minorHAnsi"/>
          <w:color w:val="000000"/>
        </w:rPr>
        <w:t xml:space="preserve"> and use cases</w:t>
      </w:r>
      <w:r w:rsidR="004C6A2F">
        <w:rPr>
          <w:rFonts w:cstheme="minorHAnsi"/>
          <w:color w:val="000000"/>
        </w:rPr>
        <w:t xml:space="preserve">, including DSRIP </w:t>
      </w:r>
      <w:r w:rsidR="00F8208E">
        <w:rPr>
          <w:rFonts w:cstheme="minorHAnsi"/>
          <w:color w:val="000000"/>
        </w:rPr>
        <w:t>data,</w:t>
      </w:r>
      <w:r w:rsidR="00F8208E" w:rsidRPr="0092096B">
        <w:rPr>
          <w:rFonts w:cstheme="minorHAnsi"/>
          <w:color w:val="000000"/>
        </w:rPr>
        <w:t xml:space="preserve"> which</w:t>
      </w:r>
      <w:r w:rsidRPr="0092096B">
        <w:rPr>
          <w:rFonts w:cstheme="minorHAnsi"/>
          <w:color w:val="000000"/>
        </w:rPr>
        <w:t xml:space="preserve"> could assist HHSC to develop policy guidance and to potentially sign off on certain strategies. </w:t>
      </w:r>
      <w:r w:rsidRPr="0092096B">
        <w:rPr>
          <w:rFonts w:cstheme="minorHAnsi"/>
          <w:color w:val="242424"/>
          <w:shd w:val="clear" w:color="auto" w:fill="FFFFFF"/>
        </w:rPr>
        <w:t>HHSC already requires managed care organizations to have a program for targeting, outreach, education</w:t>
      </w:r>
      <w:r w:rsidR="00922F74">
        <w:rPr>
          <w:rFonts w:cstheme="minorHAnsi"/>
          <w:color w:val="242424"/>
          <w:shd w:val="clear" w:color="auto" w:fill="FFFFFF"/>
        </w:rPr>
        <w:t>,</w:t>
      </w:r>
      <w:r w:rsidRPr="0092096B">
        <w:rPr>
          <w:rFonts w:cstheme="minorHAnsi"/>
          <w:color w:val="242424"/>
          <w:shd w:val="clear" w:color="auto" w:fill="FFFFFF"/>
        </w:rPr>
        <w:t xml:space="preserve"> and intervention for members who have high utilization patterns. </w:t>
      </w:r>
      <w:r w:rsidRPr="0092096B">
        <w:rPr>
          <w:rFonts w:cstheme="minorHAnsi"/>
        </w:rPr>
        <w:t>In 2019, HHSC will require MCO Performance Improvement Projects (PIPs) to address the needs and improv</w:t>
      </w:r>
      <w:r w:rsidR="00922F74">
        <w:rPr>
          <w:rFonts w:cstheme="minorHAnsi"/>
        </w:rPr>
        <w:t>e</w:t>
      </w:r>
      <w:r w:rsidRPr="0092096B">
        <w:rPr>
          <w:rFonts w:cstheme="minorHAnsi"/>
        </w:rPr>
        <w:t xml:space="preserve"> outcomes for this </w:t>
      </w:r>
      <w:r w:rsidRPr="00C95820">
        <w:rPr>
          <w:rFonts w:asciiTheme="minorHAnsi" w:hAnsiTheme="minorHAnsi" w:cstheme="minorHAnsi"/>
          <w:color w:val="000000"/>
        </w:rPr>
        <w:t>population.</w:t>
      </w:r>
    </w:p>
    <w:p w14:paraId="787462E5" w14:textId="77777777" w:rsidR="00C24801" w:rsidRPr="00C95820" w:rsidRDefault="00C24801" w:rsidP="00C95820">
      <w:pPr>
        <w:pStyle w:val="NormalWeb"/>
        <w:rPr>
          <w:rFonts w:asciiTheme="minorHAnsi" w:hAnsiTheme="minorHAnsi" w:cstheme="minorHAnsi"/>
          <w:color w:val="000000"/>
        </w:rPr>
      </w:pPr>
    </w:p>
    <w:p w14:paraId="7AA10748" w14:textId="0D038B8B" w:rsidR="0001473F" w:rsidRDefault="0001473F" w:rsidP="0001473F">
      <w:pPr>
        <w:spacing w:after="0" w:line="240" w:lineRule="auto"/>
        <w:rPr>
          <w:rFonts w:ascii="Verdana" w:hAnsi="Verdana"/>
          <w:b/>
          <w:sz w:val="20"/>
          <w:szCs w:val="20"/>
        </w:rPr>
      </w:pPr>
      <w:r>
        <w:rPr>
          <w:rFonts w:ascii="Verdana" w:hAnsi="Verdana"/>
          <w:b/>
          <w:sz w:val="20"/>
          <w:szCs w:val="20"/>
        </w:rPr>
        <w:t>Recommendation #</w:t>
      </w:r>
      <w:r w:rsidR="00034070">
        <w:rPr>
          <w:rFonts w:ascii="Verdana" w:hAnsi="Verdana"/>
          <w:b/>
          <w:sz w:val="20"/>
          <w:szCs w:val="20"/>
        </w:rPr>
        <w:t>4</w:t>
      </w:r>
      <w:r>
        <w:rPr>
          <w:rFonts w:ascii="Verdana" w:hAnsi="Verdana"/>
          <w:b/>
          <w:sz w:val="20"/>
          <w:szCs w:val="20"/>
        </w:rPr>
        <w:t>:</w:t>
      </w:r>
    </w:p>
    <w:p w14:paraId="0EA15C55" w14:textId="77777777" w:rsidR="0001473F" w:rsidRDefault="0001473F" w:rsidP="0001473F">
      <w:pPr>
        <w:spacing w:after="0" w:line="240" w:lineRule="auto"/>
        <w:rPr>
          <w:rFonts w:ascii="Verdana" w:hAnsi="Verdana"/>
          <w:b/>
          <w:sz w:val="20"/>
          <w:szCs w:val="20"/>
        </w:rPr>
      </w:pPr>
    </w:p>
    <w:p w14:paraId="5F5FD011" w14:textId="77777777" w:rsidR="0001473F" w:rsidRPr="008A21A6" w:rsidRDefault="0001473F" w:rsidP="0001473F">
      <w:pPr>
        <w:spacing w:after="0" w:line="240" w:lineRule="auto"/>
        <w:rPr>
          <w:rFonts w:cstheme="minorHAnsi"/>
          <w:i/>
          <w:sz w:val="24"/>
          <w:szCs w:val="24"/>
        </w:rPr>
      </w:pPr>
      <w:r w:rsidRPr="008A21A6">
        <w:rPr>
          <w:i/>
          <w:sz w:val="24"/>
          <w:szCs w:val="24"/>
        </w:rPr>
        <w:t xml:space="preserve">HHSC </w:t>
      </w:r>
      <w:r>
        <w:rPr>
          <w:i/>
          <w:sz w:val="24"/>
          <w:szCs w:val="24"/>
        </w:rPr>
        <w:t>should</w:t>
      </w:r>
      <w:r w:rsidRPr="008A21A6">
        <w:rPr>
          <w:i/>
          <w:sz w:val="24"/>
          <w:szCs w:val="24"/>
        </w:rPr>
        <w:t xml:space="preserve"> </w:t>
      </w:r>
      <w:r>
        <w:rPr>
          <w:i/>
          <w:sz w:val="24"/>
          <w:szCs w:val="24"/>
        </w:rPr>
        <w:t xml:space="preserve">work with stakeholders to </w:t>
      </w:r>
      <w:r w:rsidRPr="008A21A6">
        <w:rPr>
          <w:i/>
          <w:sz w:val="24"/>
          <w:szCs w:val="24"/>
        </w:rPr>
        <w:t xml:space="preserve">develop a maternity/newborn episode of care payment bundle </w:t>
      </w:r>
      <w:r>
        <w:rPr>
          <w:i/>
          <w:sz w:val="24"/>
          <w:szCs w:val="24"/>
        </w:rPr>
        <w:t xml:space="preserve">(and/or other maternity/newborn VBP approaches) </w:t>
      </w:r>
      <w:r w:rsidRPr="008A21A6">
        <w:rPr>
          <w:i/>
          <w:sz w:val="24"/>
          <w:szCs w:val="24"/>
        </w:rPr>
        <w:t>to present to Texas leadership for endorsement.</w:t>
      </w:r>
    </w:p>
    <w:p w14:paraId="79BDF5F0" w14:textId="77777777" w:rsidR="0001473F" w:rsidRDefault="0001473F" w:rsidP="0001473F">
      <w:pPr>
        <w:spacing w:after="0" w:line="240" w:lineRule="auto"/>
        <w:rPr>
          <w:rFonts w:ascii="Verdana" w:hAnsi="Verdana"/>
          <w:b/>
          <w:sz w:val="20"/>
          <w:szCs w:val="20"/>
        </w:rPr>
      </w:pPr>
    </w:p>
    <w:p w14:paraId="5DC4AFE9" w14:textId="3BF2D143" w:rsidR="00034070" w:rsidRDefault="0001473F" w:rsidP="0001473F">
      <w:pPr>
        <w:rPr>
          <w:sz w:val="24"/>
          <w:szCs w:val="24"/>
        </w:rPr>
      </w:pPr>
      <w:r>
        <w:rPr>
          <w:rFonts w:cstheme="minorHAnsi"/>
          <w:sz w:val="24"/>
          <w:szCs w:val="24"/>
        </w:rPr>
        <w:lastRenderedPageBreak/>
        <w:t xml:space="preserve">Background: </w:t>
      </w:r>
      <w:r w:rsidRPr="009E640B">
        <w:rPr>
          <w:sz w:val="24"/>
          <w:szCs w:val="24"/>
        </w:rPr>
        <w:t xml:space="preserve">This is an area of high opportunity since Medicaid pays for more than half the births in TX, and there’s large variability in </w:t>
      </w:r>
      <w:r>
        <w:rPr>
          <w:sz w:val="24"/>
          <w:szCs w:val="24"/>
        </w:rPr>
        <w:t xml:space="preserve">service utilization, </w:t>
      </w:r>
      <w:r w:rsidRPr="009E640B">
        <w:rPr>
          <w:sz w:val="24"/>
          <w:szCs w:val="24"/>
        </w:rPr>
        <w:t>costs</w:t>
      </w:r>
      <w:r w:rsidR="007442D6">
        <w:rPr>
          <w:sz w:val="24"/>
          <w:szCs w:val="24"/>
        </w:rPr>
        <w:t>,</w:t>
      </w:r>
      <w:r w:rsidRPr="009E640B">
        <w:rPr>
          <w:sz w:val="24"/>
          <w:szCs w:val="24"/>
        </w:rPr>
        <w:t xml:space="preserve"> and quality.</w:t>
      </w:r>
      <w:r>
        <w:rPr>
          <w:sz w:val="24"/>
          <w:szCs w:val="24"/>
        </w:rPr>
        <w:t xml:space="preserve"> </w:t>
      </w:r>
    </w:p>
    <w:p w14:paraId="0790E942" w14:textId="7454D075" w:rsidR="0001473F" w:rsidRPr="00BB30B5" w:rsidRDefault="00034070" w:rsidP="0001473F">
      <w:pPr>
        <w:rPr>
          <w:sz w:val="24"/>
          <w:szCs w:val="24"/>
        </w:rPr>
      </w:pPr>
      <w:r>
        <w:rPr>
          <w:sz w:val="24"/>
          <w:szCs w:val="24"/>
        </w:rPr>
        <w:t>Maternity care is recognized as a high-opportunity area for episode based payment</w:t>
      </w:r>
      <w:r w:rsidR="0016630B">
        <w:rPr>
          <w:sz w:val="24"/>
          <w:szCs w:val="24"/>
        </w:rPr>
        <w:t xml:space="preserve"> to improve quality and contain costs. Other payers, including </w:t>
      </w:r>
      <w:r>
        <w:rPr>
          <w:sz w:val="24"/>
          <w:szCs w:val="24"/>
        </w:rPr>
        <w:t>other Medicaid programs</w:t>
      </w:r>
      <w:r w:rsidR="0016630B">
        <w:rPr>
          <w:sz w:val="24"/>
          <w:szCs w:val="24"/>
        </w:rPr>
        <w:t xml:space="preserve"> (e.g. TN, OH, and AR)</w:t>
      </w:r>
      <w:r>
        <w:rPr>
          <w:sz w:val="24"/>
          <w:szCs w:val="24"/>
        </w:rPr>
        <w:t>, have implemented</w:t>
      </w:r>
      <w:r w:rsidR="0016630B">
        <w:rPr>
          <w:sz w:val="24"/>
          <w:szCs w:val="24"/>
        </w:rPr>
        <w:t xml:space="preserve"> successful maternity care episodes.</w:t>
      </w:r>
      <w:r>
        <w:rPr>
          <w:sz w:val="24"/>
          <w:szCs w:val="24"/>
        </w:rPr>
        <w:t xml:space="preserve"> </w:t>
      </w:r>
    </w:p>
    <w:p w14:paraId="5D514032" w14:textId="77777777" w:rsidR="0001473F" w:rsidRDefault="0001473F" w:rsidP="0001473F">
      <w:pPr>
        <w:rPr>
          <w:rFonts w:cstheme="minorHAnsi"/>
          <w:sz w:val="24"/>
          <w:szCs w:val="24"/>
        </w:rPr>
      </w:pPr>
      <w:r>
        <w:rPr>
          <w:rFonts w:cstheme="minorHAnsi"/>
          <w:sz w:val="24"/>
          <w:szCs w:val="24"/>
        </w:rPr>
        <w:t>If HHSC endorses a maternity/newborn episode of payment bundle, there should be a data infrastructure in place to measure outcomes and reward high quality, cost effective care (including provider activities that may not be Medicaid billable services, but that are effective ways to help manage complex pregnancies and newborns). A challenge for all payers, including Medicaid managed care programs, is how to reward successful value-based payment programs in the long run given that associated savings are inherently removed from future funding through the capitation rate setting process. Texas Medicaid has an experience rebate program through which annual managed care profits above a certain level must be shared with the State to help fund the Medicaid program. In 2013, Senate Bill 7 from the 83</w:t>
      </w:r>
      <w:r w:rsidRPr="00D22322">
        <w:rPr>
          <w:rFonts w:cstheme="minorHAnsi"/>
          <w:sz w:val="24"/>
          <w:szCs w:val="24"/>
          <w:vertAlign w:val="superscript"/>
        </w:rPr>
        <w:t>rd</w:t>
      </w:r>
      <w:r>
        <w:rPr>
          <w:rFonts w:cstheme="minorHAnsi"/>
          <w:sz w:val="24"/>
          <w:szCs w:val="24"/>
        </w:rPr>
        <w:t xml:space="preserve"> Legislature added a caveat to this statute related to leveraging experience rebates to promote quality, efficiency and payment reform. “If cost-effective, the Commission may use amounts received by the State under this section to provide incentives to specific managed care organizations to promote quality of care, encourage payment reform, reward local service delivery reform, increase efficiency, and reduce inappropriate or preventable service utilization.”</w:t>
      </w:r>
    </w:p>
    <w:p w14:paraId="1118B959" w14:textId="77777777" w:rsidR="0001473F" w:rsidRPr="00C95820" w:rsidRDefault="0001473F" w:rsidP="00C95820">
      <w:pPr>
        <w:pStyle w:val="NormalWeb"/>
        <w:rPr>
          <w:rFonts w:asciiTheme="minorHAnsi" w:hAnsiTheme="minorHAnsi" w:cstheme="minorHAnsi"/>
          <w:color w:val="000000"/>
        </w:rPr>
      </w:pPr>
      <w:r>
        <w:rPr>
          <w:rFonts w:cstheme="minorHAnsi"/>
        </w:rPr>
        <w:t xml:space="preserve">The recommendation should include well-defined parameters regarding how an MCO and its providers could receive incentive funds and a data analysis plan to calculate any incentive </w:t>
      </w:r>
      <w:r w:rsidRPr="00C95820">
        <w:rPr>
          <w:rFonts w:asciiTheme="minorHAnsi" w:hAnsiTheme="minorHAnsi" w:cstheme="minorHAnsi"/>
          <w:color w:val="000000"/>
        </w:rPr>
        <w:t>payments.</w:t>
      </w:r>
    </w:p>
    <w:p w14:paraId="075A6930" w14:textId="77777777" w:rsidR="0001473F" w:rsidRPr="00C95820" w:rsidRDefault="0001473F" w:rsidP="00C95820">
      <w:pPr>
        <w:pStyle w:val="NormalWeb"/>
        <w:rPr>
          <w:rFonts w:asciiTheme="minorHAnsi" w:hAnsiTheme="minorHAnsi" w:cstheme="minorHAnsi"/>
          <w:color w:val="000000"/>
        </w:rPr>
      </w:pPr>
    </w:p>
    <w:p w14:paraId="2402ED58" w14:textId="74CDFE1B" w:rsidR="005824D5" w:rsidRDefault="002C0BB3" w:rsidP="005824D5">
      <w:pPr>
        <w:spacing w:after="0" w:line="240" w:lineRule="auto"/>
        <w:rPr>
          <w:rFonts w:ascii="Verdana" w:hAnsi="Verdana"/>
          <w:b/>
          <w:sz w:val="20"/>
          <w:szCs w:val="20"/>
        </w:rPr>
      </w:pPr>
      <w:r>
        <w:rPr>
          <w:rFonts w:ascii="Verdana" w:hAnsi="Verdana"/>
          <w:b/>
          <w:sz w:val="20"/>
          <w:szCs w:val="20"/>
        </w:rPr>
        <w:t>Recommendation #</w:t>
      </w:r>
      <w:r w:rsidR="007D370B">
        <w:rPr>
          <w:rFonts w:ascii="Verdana" w:hAnsi="Verdana"/>
          <w:b/>
          <w:sz w:val="20"/>
          <w:szCs w:val="20"/>
        </w:rPr>
        <w:t>5</w:t>
      </w:r>
      <w:r w:rsidR="005824D5">
        <w:rPr>
          <w:rFonts w:ascii="Verdana" w:hAnsi="Verdana"/>
          <w:b/>
          <w:sz w:val="20"/>
          <w:szCs w:val="20"/>
        </w:rPr>
        <w:t>:</w:t>
      </w:r>
    </w:p>
    <w:p w14:paraId="1F581014" w14:textId="77777777" w:rsidR="00A77B8D" w:rsidRDefault="00A77B8D" w:rsidP="005824D5">
      <w:pPr>
        <w:spacing w:after="0" w:line="240" w:lineRule="auto"/>
        <w:rPr>
          <w:rFonts w:ascii="Verdana" w:hAnsi="Verdana"/>
          <w:b/>
          <w:sz w:val="20"/>
          <w:szCs w:val="20"/>
        </w:rPr>
      </w:pPr>
    </w:p>
    <w:p w14:paraId="106D9135" w14:textId="77777777" w:rsidR="002F7564" w:rsidRPr="00A77B8D" w:rsidRDefault="002F7564" w:rsidP="002F7564">
      <w:pPr>
        <w:rPr>
          <w:i/>
          <w:sz w:val="24"/>
          <w:szCs w:val="24"/>
        </w:rPr>
      </w:pPr>
      <w:r w:rsidRPr="00A77B8D">
        <w:rPr>
          <w:rFonts w:cstheme="minorHAnsi"/>
          <w:i/>
          <w:sz w:val="24"/>
          <w:szCs w:val="24"/>
        </w:rPr>
        <w:t>HHSC should develop value-based purchasing strategies to sustain</w:t>
      </w:r>
      <w:r w:rsidRPr="00A77B8D">
        <w:rPr>
          <w:i/>
          <w:sz w:val="24"/>
          <w:szCs w:val="24"/>
        </w:rPr>
        <w:t xml:space="preserve"> strong behavioral health-related DSRIP work such as integrated behavioral health/primary care</w:t>
      </w:r>
      <w:r w:rsidR="00A77B8D" w:rsidRPr="00A77B8D">
        <w:rPr>
          <w:i/>
          <w:sz w:val="24"/>
          <w:szCs w:val="24"/>
        </w:rPr>
        <w:t>. The</w:t>
      </w:r>
      <w:r w:rsidRPr="00A77B8D">
        <w:rPr>
          <w:i/>
          <w:sz w:val="24"/>
          <w:szCs w:val="24"/>
        </w:rPr>
        <w:t xml:space="preserve"> </w:t>
      </w:r>
      <w:r w:rsidR="00A77B8D" w:rsidRPr="00A77B8D">
        <w:rPr>
          <w:i/>
          <w:sz w:val="24"/>
          <w:szCs w:val="24"/>
        </w:rPr>
        <w:t xml:space="preserve">current development of </w:t>
      </w:r>
      <w:r w:rsidRPr="00A77B8D">
        <w:rPr>
          <w:i/>
          <w:sz w:val="24"/>
          <w:szCs w:val="24"/>
        </w:rPr>
        <w:t>Certified Community Behavioral Health Clinics [CCBHC]</w:t>
      </w:r>
      <w:r w:rsidR="00A77B8D" w:rsidRPr="00A77B8D">
        <w:rPr>
          <w:i/>
          <w:sz w:val="24"/>
          <w:szCs w:val="24"/>
        </w:rPr>
        <w:t xml:space="preserve"> could be included as a sustainability strategy</w:t>
      </w:r>
      <w:r w:rsidRPr="00A77B8D">
        <w:rPr>
          <w:i/>
          <w:sz w:val="24"/>
          <w:szCs w:val="24"/>
        </w:rPr>
        <w:t>.</w:t>
      </w:r>
    </w:p>
    <w:p w14:paraId="56684BBC" w14:textId="52AE27FC" w:rsidR="008867CA" w:rsidRPr="00E426AE" w:rsidRDefault="00A77B8D" w:rsidP="008867CA">
      <w:pPr>
        <w:spacing w:line="256" w:lineRule="auto"/>
        <w:rPr>
          <w:sz w:val="24"/>
          <w:szCs w:val="24"/>
        </w:rPr>
      </w:pPr>
      <w:r>
        <w:rPr>
          <w:sz w:val="24"/>
          <w:szCs w:val="24"/>
        </w:rPr>
        <w:t>Background:</w:t>
      </w:r>
      <w:r w:rsidR="007132C5">
        <w:rPr>
          <w:sz w:val="24"/>
          <w:szCs w:val="24"/>
        </w:rPr>
        <w:t xml:space="preserve"> </w:t>
      </w:r>
      <w:r w:rsidR="00F47917">
        <w:rPr>
          <w:sz w:val="24"/>
          <w:szCs w:val="24"/>
        </w:rPr>
        <w:t>T</w:t>
      </w:r>
      <w:r w:rsidR="008867CA" w:rsidRPr="00EA2CBF">
        <w:rPr>
          <w:rFonts w:cstheme="minorHAnsi"/>
          <w:sz w:val="23"/>
          <w:szCs w:val="23"/>
        </w:rPr>
        <w:t>he continuum of care that is the focus of CCBHC</w:t>
      </w:r>
      <w:r w:rsidR="00F47917">
        <w:rPr>
          <w:rFonts w:cstheme="minorHAnsi"/>
          <w:sz w:val="23"/>
          <w:szCs w:val="23"/>
        </w:rPr>
        <w:t>s</w:t>
      </w:r>
      <w:r w:rsidR="008867CA" w:rsidRPr="00EA2CBF">
        <w:rPr>
          <w:rFonts w:cstheme="minorHAnsi"/>
          <w:sz w:val="23"/>
          <w:szCs w:val="23"/>
        </w:rPr>
        <w:t xml:space="preserve"> represents many of the areas of gain through DSRIP implementation in behavioral health.  </w:t>
      </w:r>
      <w:r w:rsidR="00E426AE">
        <w:rPr>
          <w:rFonts w:cstheme="minorHAnsi"/>
          <w:sz w:val="23"/>
          <w:szCs w:val="23"/>
        </w:rPr>
        <w:t>The CCBHC model is a value-based purchasing design</w:t>
      </w:r>
      <w:r w:rsidR="00F47917">
        <w:rPr>
          <w:rFonts w:cstheme="minorHAnsi"/>
          <w:sz w:val="23"/>
          <w:szCs w:val="23"/>
        </w:rPr>
        <w:t xml:space="preserve"> that with further</w:t>
      </w:r>
      <w:r w:rsidR="00455B15">
        <w:rPr>
          <w:rFonts w:cstheme="minorHAnsi"/>
          <w:sz w:val="23"/>
          <w:szCs w:val="23"/>
        </w:rPr>
        <w:t xml:space="preserve"> development could be used for the required DSRIP Sustainability Plan described below that is part of the renewal of the Texas Medicaid 1115 Waiver.</w:t>
      </w:r>
    </w:p>
    <w:p w14:paraId="7A2E4EF3" w14:textId="77777777" w:rsidR="008867CA" w:rsidRPr="00EA2CBF" w:rsidRDefault="008867CA" w:rsidP="008867CA">
      <w:pPr>
        <w:spacing w:line="256" w:lineRule="auto"/>
        <w:rPr>
          <w:rFonts w:cstheme="minorHAnsi"/>
          <w:sz w:val="23"/>
          <w:szCs w:val="23"/>
        </w:rPr>
      </w:pPr>
      <w:r w:rsidRPr="00EA2CBF">
        <w:rPr>
          <w:rFonts w:cstheme="minorHAnsi"/>
          <w:sz w:val="23"/>
          <w:szCs w:val="23"/>
        </w:rPr>
        <w:t>The purpose of CCBHC as communicated by the Substance Abuse Mental Health Services Administration is to improve behavioral health care by:</w:t>
      </w:r>
    </w:p>
    <w:p w14:paraId="5D97B072" w14:textId="77777777" w:rsidR="008867CA" w:rsidRPr="00EA2CBF" w:rsidRDefault="008867CA" w:rsidP="008867CA">
      <w:pPr>
        <w:pStyle w:val="ListParagraph"/>
        <w:numPr>
          <w:ilvl w:val="0"/>
          <w:numId w:val="14"/>
        </w:numPr>
        <w:spacing w:after="0" w:line="256" w:lineRule="auto"/>
        <w:rPr>
          <w:rFonts w:cstheme="minorHAnsi"/>
          <w:sz w:val="23"/>
          <w:szCs w:val="23"/>
        </w:rPr>
      </w:pPr>
      <w:r w:rsidRPr="00EA2CBF">
        <w:rPr>
          <w:rFonts w:cstheme="minorHAnsi"/>
          <w:sz w:val="23"/>
          <w:szCs w:val="23"/>
        </w:rPr>
        <w:t>Providing community-based mental health and substance abuse services (including crisis services)</w:t>
      </w:r>
    </w:p>
    <w:p w14:paraId="1F58DC1C" w14:textId="77777777" w:rsidR="008867CA" w:rsidRPr="00EA2CBF" w:rsidRDefault="008867CA" w:rsidP="008867CA">
      <w:pPr>
        <w:pStyle w:val="ListParagraph"/>
        <w:numPr>
          <w:ilvl w:val="0"/>
          <w:numId w:val="14"/>
        </w:numPr>
        <w:spacing w:after="0" w:line="256" w:lineRule="auto"/>
        <w:rPr>
          <w:rFonts w:cstheme="minorHAnsi"/>
          <w:sz w:val="23"/>
          <w:szCs w:val="23"/>
        </w:rPr>
      </w:pPr>
      <w:r w:rsidRPr="00EA2CBF">
        <w:rPr>
          <w:rFonts w:cstheme="minorHAnsi"/>
          <w:sz w:val="23"/>
          <w:szCs w:val="23"/>
        </w:rPr>
        <w:lastRenderedPageBreak/>
        <w:t>Advancing integration of behavioral health care</w:t>
      </w:r>
      <w:r w:rsidR="00AF6E28">
        <w:rPr>
          <w:rFonts w:cstheme="minorHAnsi"/>
          <w:sz w:val="23"/>
          <w:szCs w:val="23"/>
        </w:rPr>
        <w:t xml:space="preserve"> and</w:t>
      </w:r>
      <w:r w:rsidRPr="00EA2CBF">
        <w:rPr>
          <w:rFonts w:cstheme="minorHAnsi"/>
          <w:sz w:val="23"/>
          <w:szCs w:val="23"/>
        </w:rPr>
        <w:t xml:space="preserve"> physical health care</w:t>
      </w:r>
    </w:p>
    <w:p w14:paraId="2F00D7B8" w14:textId="77777777" w:rsidR="008867CA" w:rsidRPr="00EA2CBF" w:rsidRDefault="008867CA" w:rsidP="008867CA">
      <w:pPr>
        <w:pStyle w:val="ListParagraph"/>
        <w:numPr>
          <w:ilvl w:val="0"/>
          <w:numId w:val="14"/>
        </w:numPr>
        <w:spacing w:after="0" w:line="256" w:lineRule="auto"/>
        <w:rPr>
          <w:rFonts w:cstheme="minorHAnsi"/>
          <w:sz w:val="23"/>
          <w:szCs w:val="23"/>
        </w:rPr>
      </w:pPr>
      <w:r w:rsidRPr="00EA2CBF">
        <w:rPr>
          <w:rFonts w:cstheme="minorHAnsi"/>
          <w:sz w:val="23"/>
          <w:szCs w:val="23"/>
        </w:rPr>
        <w:t>Assimilating and utilizing evidence-based practices</w:t>
      </w:r>
    </w:p>
    <w:p w14:paraId="4E607480" w14:textId="77777777" w:rsidR="008867CA" w:rsidRPr="00EA2CBF" w:rsidRDefault="008867CA" w:rsidP="008867CA">
      <w:pPr>
        <w:pStyle w:val="ListParagraph"/>
        <w:numPr>
          <w:ilvl w:val="0"/>
          <w:numId w:val="14"/>
        </w:numPr>
        <w:spacing w:after="0" w:line="256" w:lineRule="auto"/>
        <w:rPr>
          <w:rFonts w:cstheme="minorHAnsi"/>
          <w:sz w:val="23"/>
          <w:szCs w:val="23"/>
        </w:rPr>
      </w:pPr>
      <w:r w:rsidRPr="00EA2CBF">
        <w:rPr>
          <w:rFonts w:cstheme="minorHAnsi"/>
          <w:sz w:val="23"/>
          <w:szCs w:val="23"/>
        </w:rPr>
        <w:t>Promoting improved access to quality care</w:t>
      </w:r>
    </w:p>
    <w:p w14:paraId="6562375A" w14:textId="77777777" w:rsidR="008867CA" w:rsidRPr="00EA2CBF" w:rsidRDefault="008867CA" w:rsidP="008867CA">
      <w:pPr>
        <w:pStyle w:val="ListParagraph"/>
        <w:numPr>
          <w:ilvl w:val="0"/>
          <w:numId w:val="14"/>
        </w:numPr>
        <w:spacing w:after="0" w:line="256" w:lineRule="auto"/>
        <w:rPr>
          <w:rFonts w:cstheme="minorHAnsi"/>
          <w:sz w:val="23"/>
          <w:szCs w:val="23"/>
        </w:rPr>
      </w:pPr>
      <w:r>
        <w:rPr>
          <w:rFonts w:cstheme="minorHAnsi"/>
          <w:sz w:val="23"/>
          <w:szCs w:val="23"/>
        </w:rPr>
        <w:t>E</w:t>
      </w:r>
      <w:r w:rsidRPr="00EA2CBF">
        <w:rPr>
          <w:rFonts w:cstheme="minorHAnsi"/>
          <w:sz w:val="23"/>
          <w:szCs w:val="23"/>
        </w:rPr>
        <w:t xml:space="preserve">ffective care coordination </w:t>
      </w:r>
      <w:r>
        <w:rPr>
          <w:rFonts w:cstheme="minorHAnsi"/>
          <w:sz w:val="23"/>
          <w:szCs w:val="23"/>
        </w:rPr>
        <w:t>(</w:t>
      </w:r>
      <w:r w:rsidRPr="00EA2CBF">
        <w:rPr>
          <w:rFonts w:cstheme="minorHAnsi"/>
          <w:sz w:val="23"/>
          <w:szCs w:val="23"/>
        </w:rPr>
        <w:t>considered the “linchpin” for the model</w:t>
      </w:r>
      <w:r>
        <w:rPr>
          <w:rFonts w:cstheme="minorHAnsi"/>
          <w:sz w:val="23"/>
          <w:szCs w:val="23"/>
        </w:rPr>
        <w:t>)</w:t>
      </w:r>
      <w:r w:rsidRPr="00EA2CBF">
        <w:rPr>
          <w:rStyle w:val="FootnoteReference"/>
          <w:rFonts w:cstheme="minorHAnsi"/>
          <w:sz w:val="23"/>
          <w:szCs w:val="23"/>
        </w:rPr>
        <w:footnoteReference w:id="2"/>
      </w:r>
    </w:p>
    <w:p w14:paraId="03F26445" w14:textId="77777777" w:rsidR="008867CA" w:rsidRPr="00EA2CBF" w:rsidRDefault="008867CA" w:rsidP="008867CA">
      <w:pPr>
        <w:shd w:val="clear" w:color="auto" w:fill="FFFFFF"/>
        <w:spacing w:after="0" w:line="240" w:lineRule="auto"/>
        <w:rPr>
          <w:rFonts w:eastAsia="Times New Roman" w:cstheme="minorHAnsi"/>
          <w:color w:val="212121"/>
        </w:rPr>
      </w:pPr>
    </w:p>
    <w:p w14:paraId="04FD661D" w14:textId="77777777" w:rsidR="008867CA" w:rsidRPr="00EA2CBF" w:rsidRDefault="008867CA" w:rsidP="0098343D">
      <w:pPr>
        <w:shd w:val="clear" w:color="auto" w:fill="FFFFFF"/>
        <w:spacing w:after="0" w:line="240" w:lineRule="auto"/>
        <w:rPr>
          <w:rFonts w:eastAsia="Times New Roman" w:cstheme="minorHAnsi"/>
          <w:color w:val="212121"/>
          <w:sz w:val="23"/>
          <w:szCs w:val="23"/>
        </w:rPr>
      </w:pPr>
      <w:r w:rsidRPr="00EA2CBF">
        <w:rPr>
          <w:rFonts w:eastAsia="Times New Roman" w:cstheme="minorHAnsi"/>
          <w:color w:val="212121"/>
          <w:sz w:val="23"/>
          <w:szCs w:val="23"/>
        </w:rPr>
        <w:t xml:space="preserve">These areas of focus are aligned with key </w:t>
      </w:r>
      <w:r w:rsidR="00455B15">
        <w:rPr>
          <w:rFonts w:eastAsia="Times New Roman" w:cstheme="minorHAnsi"/>
          <w:color w:val="212121"/>
          <w:sz w:val="23"/>
          <w:szCs w:val="23"/>
        </w:rPr>
        <w:t xml:space="preserve">DSRIP </w:t>
      </w:r>
      <w:r w:rsidRPr="00EA2CBF">
        <w:rPr>
          <w:rFonts w:eastAsia="Times New Roman" w:cstheme="minorHAnsi"/>
          <w:color w:val="212121"/>
          <w:sz w:val="23"/>
          <w:szCs w:val="23"/>
        </w:rPr>
        <w:t xml:space="preserve">projects that the community mental health center </w:t>
      </w:r>
      <w:r>
        <w:rPr>
          <w:rFonts w:eastAsia="Times New Roman" w:cstheme="minorHAnsi"/>
          <w:color w:val="212121"/>
          <w:sz w:val="23"/>
          <w:szCs w:val="23"/>
        </w:rPr>
        <w:t>(CMHC</w:t>
      </w:r>
      <w:r w:rsidRPr="00EA2CBF">
        <w:rPr>
          <w:rFonts w:eastAsia="Times New Roman" w:cstheme="minorHAnsi"/>
          <w:color w:val="212121"/>
          <w:sz w:val="23"/>
          <w:szCs w:val="23"/>
        </w:rPr>
        <w:t>) performing providers have implemented in the initial stage of the waiver, such as increased access to care, adequate crisis services, integrated care, and peer supports.</w:t>
      </w:r>
      <w:r>
        <w:rPr>
          <w:rFonts w:eastAsia="Times New Roman" w:cstheme="minorHAnsi"/>
          <w:color w:val="212121"/>
          <w:sz w:val="23"/>
          <w:szCs w:val="23"/>
        </w:rPr>
        <w:t xml:space="preserve"> DSRIP 2.0</w:t>
      </w:r>
      <w:r w:rsidR="00AF6E28">
        <w:rPr>
          <w:rFonts w:eastAsia="Times New Roman" w:cstheme="minorHAnsi"/>
          <w:color w:val="212121"/>
          <w:sz w:val="23"/>
          <w:szCs w:val="23"/>
        </w:rPr>
        <w:t xml:space="preserve">, which </w:t>
      </w:r>
      <w:r w:rsidR="00455B15">
        <w:rPr>
          <w:rFonts w:eastAsia="Times New Roman" w:cstheme="minorHAnsi"/>
          <w:color w:val="212121"/>
          <w:sz w:val="23"/>
          <w:szCs w:val="23"/>
        </w:rPr>
        <w:t>is currently in implementation</w:t>
      </w:r>
      <w:r w:rsidR="00AF6E28">
        <w:rPr>
          <w:rFonts w:eastAsia="Times New Roman" w:cstheme="minorHAnsi"/>
          <w:color w:val="212121"/>
          <w:sz w:val="23"/>
          <w:szCs w:val="23"/>
        </w:rPr>
        <w:t>,</w:t>
      </w:r>
      <w:r w:rsidR="00455B15">
        <w:rPr>
          <w:rFonts w:eastAsia="Times New Roman" w:cstheme="minorHAnsi"/>
          <w:color w:val="212121"/>
          <w:sz w:val="23"/>
          <w:szCs w:val="23"/>
        </w:rPr>
        <w:t xml:space="preserve"> is</w:t>
      </w:r>
      <w:r>
        <w:rPr>
          <w:rFonts w:eastAsia="Times New Roman" w:cstheme="minorHAnsi"/>
          <w:color w:val="212121"/>
          <w:sz w:val="23"/>
          <w:szCs w:val="23"/>
        </w:rPr>
        <w:t xml:space="preserve"> aligned with</w:t>
      </w:r>
      <w:r w:rsidRPr="00EA2CBF">
        <w:rPr>
          <w:rFonts w:eastAsia="Times New Roman" w:cstheme="minorHAnsi"/>
          <w:color w:val="212121"/>
          <w:sz w:val="23"/>
          <w:szCs w:val="23"/>
        </w:rPr>
        <w:t xml:space="preserve"> the quality measures required for the CCBHC model.</w:t>
      </w:r>
    </w:p>
    <w:p w14:paraId="08431F1C" w14:textId="77777777" w:rsidR="008867CA" w:rsidRPr="00EA2CBF" w:rsidRDefault="008867CA" w:rsidP="008867CA">
      <w:pPr>
        <w:shd w:val="clear" w:color="auto" w:fill="FFFFFF"/>
        <w:spacing w:after="0" w:line="240" w:lineRule="auto"/>
        <w:rPr>
          <w:rFonts w:eastAsia="Times New Roman" w:cstheme="minorHAnsi"/>
          <w:color w:val="212121"/>
          <w:sz w:val="23"/>
          <w:szCs w:val="23"/>
        </w:rPr>
      </w:pPr>
    </w:p>
    <w:p w14:paraId="120D2DF8" w14:textId="0B408702" w:rsidR="00A77B8D" w:rsidRDefault="008867CA" w:rsidP="008867CA">
      <w:pPr>
        <w:rPr>
          <w:rFonts w:eastAsia="Times New Roman" w:cstheme="minorHAnsi"/>
          <w:color w:val="212121"/>
          <w:sz w:val="23"/>
          <w:szCs w:val="23"/>
        </w:rPr>
      </w:pPr>
      <w:r>
        <w:rPr>
          <w:rFonts w:eastAsia="Times New Roman" w:cstheme="minorHAnsi"/>
          <w:color w:val="212121"/>
          <w:sz w:val="23"/>
          <w:szCs w:val="23"/>
        </w:rPr>
        <w:t>In addition, t</w:t>
      </w:r>
      <w:r w:rsidRPr="00EA2CBF">
        <w:rPr>
          <w:rFonts w:eastAsia="Times New Roman" w:cstheme="minorHAnsi"/>
          <w:color w:val="212121"/>
          <w:sz w:val="23"/>
          <w:szCs w:val="23"/>
        </w:rPr>
        <w:t>wo of the</w:t>
      </w:r>
      <w:r w:rsidR="005D7B2C">
        <w:rPr>
          <w:rFonts w:eastAsia="Times New Roman" w:cstheme="minorHAnsi"/>
          <w:color w:val="212121"/>
          <w:sz w:val="23"/>
          <w:szCs w:val="23"/>
        </w:rPr>
        <w:t xml:space="preserve"> eight</w:t>
      </w:r>
      <w:r w:rsidRPr="00EA2CBF">
        <w:rPr>
          <w:rFonts w:eastAsia="Times New Roman" w:cstheme="minorHAnsi"/>
          <w:color w:val="212121"/>
          <w:sz w:val="23"/>
          <w:szCs w:val="23"/>
        </w:rPr>
        <w:t xml:space="preserve"> CCBHC planning grant sites </w:t>
      </w:r>
      <w:r w:rsidR="00AF6E28">
        <w:rPr>
          <w:rFonts w:eastAsia="Times New Roman" w:cstheme="minorHAnsi"/>
          <w:color w:val="212121"/>
          <w:sz w:val="23"/>
          <w:szCs w:val="23"/>
        </w:rPr>
        <w:t xml:space="preserve">(Tropical Texas and the Burke Center) </w:t>
      </w:r>
      <w:r w:rsidRPr="00EA2CBF">
        <w:rPr>
          <w:rFonts w:eastAsia="Times New Roman" w:cstheme="minorHAnsi"/>
          <w:color w:val="212121"/>
          <w:sz w:val="23"/>
          <w:szCs w:val="23"/>
        </w:rPr>
        <w:t>are pilot VBP initiatives for SB 58, 83</w:t>
      </w:r>
      <w:r w:rsidRPr="00EA2CBF">
        <w:rPr>
          <w:rFonts w:eastAsia="Times New Roman" w:cstheme="minorHAnsi"/>
          <w:color w:val="212121"/>
          <w:sz w:val="23"/>
          <w:szCs w:val="23"/>
          <w:vertAlign w:val="superscript"/>
        </w:rPr>
        <w:t>rd</w:t>
      </w:r>
      <w:r w:rsidRPr="00EA2CBF">
        <w:rPr>
          <w:rFonts w:eastAsia="Times New Roman" w:cstheme="minorHAnsi"/>
          <w:color w:val="212121"/>
          <w:sz w:val="23"/>
          <w:szCs w:val="23"/>
        </w:rPr>
        <w:t> Legislature, Regular Session, 2013 for health home pilots that address serious mental illness and at least one chronic condition.</w:t>
      </w:r>
    </w:p>
    <w:p w14:paraId="1EA950CC" w14:textId="77777777" w:rsidR="0098343D" w:rsidRPr="00C95820" w:rsidRDefault="0098343D" w:rsidP="00C95820">
      <w:pPr>
        <w:pStyle w:val="NormalWeb"/>
        <w:rPr>
          <w:rFonts w:asciiTheme="minorHAnsi" w:hAnsiTheme="minorHAnsi" w:cstheme="minorHAnsi"/>
          <w:color w:val="000000"/>
        </w:rPr>
      </w:pPr>
      <w:r>
        <w:rPr>
          <w:rFonts w:cstheme="minorHAnsi"/>
          <w:sz w:val="23"/>
          <w:szCs w:val="23"/>
        </w:rPr>
        <w:t xml:space="preserve">In the Special Terms and Conditions (STCs) of the renewal of the Medicaid 1115 Demonstration Waiver, Texas is required to </w:t>
      </w:r>
      <w:r w:rsidRPr="008C001D">
        <w:rPr>
          <w:rFonts w:cstheme="minorHAnsi"/>
          <w:sz w:val="23"/>
          <w:szCs w:val="23"/>
        </w:rPr>
        <w:t>submit a draft transition plan to CMS by October 1, 2019 for CMS review and approval, describing how the state will further develop its delivery system reform efforts without DSRIP funding and/or phase out DSRIP funded ac</w:t>
      </w:r>
      <w:r w:rsidR="00CB3E70">
        <w:rPr>
          <w:rFonts w:cstheme="minorHAnsi"/>
          <w:sz w:val="23"/>
          <w:szCs w:val="23"/>
        </w:rPr>
        <w:t>tivities.</w:t>
      </w:r>
      <w:r w:rsidRPr="008C001D">
        <w:rPr>
          <w:rFonts w:cstheme="minorHAnsi"/>
          <w:sz w:val="23"/>
          <w:szCs w:val="23"/>
        </w:rPr>
        <w:t xml:space="preserve"> As Texas’ DSRIP is a time-limited federal investment that will conclude by October 2021,</w:t>
      </w:r>
      <w:r w:rsidR="00CB3E70">
        <w:rPr>
          <w:rFonts w:cstheme="minorHAnsi"/>
          <w:sz w:val="23"/>
          <w:szCs w:val="23"/>
        </w:rPr>
        <w:t xml:space="preserve"> Texas must</w:t>
      </w:r>
      <w:r w:rsidRPr="008C001D">
        <w:rPr>
          <w:rFonts w:cstheme="minorHAnsi"/>
          <w:sz w:val="23"/>
          <w:szCs w:val="23"/>
        </w:rPr>
        <w:t xml:space="preserve"> propose milestones by which it will be accountable for measuring sustainability of its delivery system reform efforts absent DSRIP funding. </w:t>
      </w:r>
      <w:r w:rsidR="00CB3E70">
        <w:rPr>
          <w:rFonts w:cstheme="minorHAnsi"/>
          <w:sz w:val="23"/>
          <w:szCs w:val="23"/>
        </w:rPr>
        <w:t>CMS specifies that m</w:t>
      </w:r>
      <w:r w:rsidRPr="008C001D">
        <w:rPr>
          <w:rFonts w:cstheme="minorHAnsi"/>
          <w:sz w:val="23"/>
          <w:szCs w:val="23"/>
        </w:rPr>
        <w:t xml:space="preserve">ilestones may relate to the use of alternative payment models, the state’s adoption of managed care payment models, payment mechanisms that support </w:t>
      </w:r>
      <w:r w:rsidRPr="00C95820">
        <w:rPr>
          <w:rFonts w:asciiTheme="minorHAnsi" w:hAnsiTheme="minorHAnsi" w:cstheme="minorHAnsi"/>
          <w:color w:val="000000"/>
        </w:rPr>
        <w:t xml:space="preserve">providers’ delivery system reform efforts, and other opportunities. </w:t>
      </w:r>
    </w:p>
    <w:p w14:paraId="608D6372" w14:textId="77777777" w:rsidR="007050AA" w:rsidRPr="00C95820" w:rsidRDefault="007050AA" w:rsidP="00C95820">
      <w:pPr>
        <w:pStyle w:val="NormalWeb"/>
        <w:rPr>
          <w:rFonts w:asciiTheme="minorHAnsi" w:hAnsiTheme="minorHAnsi" w:cstheme="minorHAnsi"/>
          <w:color w:val="000000"/>
        </w:rPr>
      </w:pPr>
    </w:p>
    <w:p w14:paraId="2B2CF53E" w14:textId="7E40C828" w:rsidR="007050AA" w:rsidRDefault="002C0BB3" w:rsidP="007050AA">
      <w:pPr>
        <w:spacing w:after="0" w:line="240" w:lineRule="auto"/>
        <w:rPr>
          <w:rFonts w:ascii="Verdana" w:hAnsi="Verdana"/>
          <w:b/>
          <w:sz w:val="20"/>
          <w:szCs w:val="20"/>
        </w:rPr>
      </w:pPr>
      <w:r>
        <w:rPr>
          <w:rFonts w:ascii="Verdana" w:hAnsi="Verdana"/>
          <w:b/>
          <w:sz w:val="20"/>
          <w:szCs w:val="20"/>
        </w:rPr>
        <w:t>Recommendation #</w:t>
      </w:r>
      <w:r w:rsidR="007D370B">
        <w:rPr>
          <w:rFonts w:ascii="Verdana" w:hAnsi="Verdana"/>
          <w:b/>
          <w:sz w:val="20"/>
          <w:szCs w:val="20"/>
        </w:rPr>
        <w:t>6</w:t>
      </w:r>
      <w:r w:rsidR="007050AA">
        <w:rPr>
          <w:rFonts w:ascii="Verdana" w:hAnsi="Verdana"/>
          <w:b/>
          <w:sz w:val="20"/>
          <w:szCs w:val="20"/>
        </w:rPr>
        <w:t>:</w:t>
      </w:r>
    </w:p>
    <w:p w14:paraId="76C9036B" w14:textId="77777777" w:rsidR="000347FB" w:rsidRDefault="000347FB" w:rsidP="0052165E">
      <w:pPr>
        <w:rPr>
          <w:rFonts w:cstheme="minorHAnsi"/>
          <w:sz w:val="23"/>
          <w:szCs w:val="23"/>
        </w:rPr>
      </w:pPr>
    </w:p>
    <w:p w14:paraId="18950D0B" w14:textId="77777777" w:rsidR="0052165E" w:rsidRPr="0052165E" w:rsidRDefault="0052165E" w:rsidP="0052165E">
      <w:pPr>
        <w:rPr>
          <w:i/>
          <w:sz w:val="24"/>
          <w:szCs w:val="24"/>
        </w:rPr>
      </w:pPr>
      <w:r w:rsidRPr="0052165E">
        <w:rPr>
          <w:i/>
          <w:sz w:val="24"/>
          <w:szCs w:val="24"/>
        </w:rPr>
        <w:t>HHSC should develop VBP models for opioid treatment, including to increase access to medication-assisted treatment (MAT)</w:t>
      </w:r>
      <w:r w:rsidR="000347FB">
        <w:rPr>
          <w:i/>
          <w:sz w:val="24"/>
          <w:szCs w:val="24"/>
        </w:rPr>
        <w:t xml:space="preserve"> through a bundled rate</w:t>
      </w:r>
      <w:r w:rsidR="005D7B2C">
        <w:rPr>
          <w:i/>
          <w:sz w:val="24"/>
          <w:szCs w:val="24"/>
        </w:rPr>
        <w:t>, to</w:t>
      </w:r>
      <w:r w:rsidR="007907CF">
        <w:rPr>
          <w:i/>
          <w:sz w:val="24"/>
          <w:szCs w:val="24"/>
        </w:rPr>
        <w:t xml:space="preserve"> </w:t>
      </w:r>
      <w:r w:rsidR="000347FB">
        <w:rPr>
          <w:i/>
          <w:sz w:val="24"/>
          <w:szCs w:val="24"/>
        </w:rPr>
        <w:t>present to State leadership</w:t>
      </w:r>
      <w:r w:rsidRPr="0052165E">
        <w:rPr>
          <w:i/>
          <w:sz w:val="24"/>
          <w:szCs w:val="24"/>
        </w:rPr>
        <w:t xml:space="preserve">. </w:t>
      </w:r>
    </w:p>
    <w:p w14:paraId="29222B80" w14:textId="77777777" w:rsidR="000347FB" w:rsidRPr="000347FB" w:rsidRDefault="0052165E" w:rsidP="000347FB">
      <w:pPr>
        <w:pStyle w:val="NormalWeb"/>
        <w:rPr>
          <w:rFonts w:asciiTheme="minorHAnsi" w:hAnsiTheme="minorHAnsi" w:cstheme="minorHAnsi"/>
          <w:color w:val="000000"/>
        </w:rPr>
      </w:pPr>
      <w:r w:rsidRPr="000347FB">
        <w:rPr>
          <w:rFonts w:asciiTheme="minorHAnsi" w:hAnsiTheme="minorHAnsi" w:cstheme="minorHAnsi"/>
        </w:rPr>
        <w:t>Background:</w:t>
      </w:r>
      <w:r w:rsidR="000347FB" w:rsidRPr="000347FB">
        <w:rPr>
          <w:rFonts w:asciiTheme="minorHAnsi" w:hAnsiTheme="minorHAnsi" w:cstheme="minorHAnsi"/>
        </w:rPr>
        <w:t xml:space="preserve"> </w:t>
      </w:r>
      <w:r w:rsidR="000347FB" w:rsidRPr="000347FB">
        <w:rPr>
          <w:rFonts w:asciiTheme="minorHAnsi" w:hAnsiTheme="minorHAnsi" w:cstheme="minorHAnsi"/>
          <w:color w:val="000000"/>
        </w:rPr>
        <w:t>Opioids are a class of drugs that include heroin as well as prescription pain relievers</w:t>
      </w:r>
      <w:r w:rsidR="005D7B2C">
        <w:rPr>
          <w:rFonts w:asciiTheme="minorHAnsi" w:hAnsiTheme="minorHAnsi" w:cstheme="minorHAnsi"/>
          <w:color w:val="000000"/>
        </w:rPr>
        <w:t xml:space="preserve"> (</w:t>
      </w:r>
      <w:r w:rsidR="000347FB" w:rsidRPr="000347FB">
        <w:rPr>
          <w:rFonts w:asciiTheme="minorHAnsi" w:hAnsiTheme="minorHAnsi" w:cstheme="minorHAnsi"/>
          <w:color w:val="000000"/>
        </w:rPr>
        <w:t>fentanyl and others</w:t>
      </w:r>
      <w:r w:rsidR="005D7B2C">
        <w:rPr>
          <w:rFonts w:asciiTheme="minorHAnsi" w:hAnsiTheme="minorHAnsi" w:cstheme="minorHAnsi"/>
          <w:color w:val="000000"/>
        </w:rPr>
        <w:t>)</w:t>
      </w:r>
      <w:r w:rsidR="000347FB" w:rsidRPr="000347FB">
        <w:rPr>
          <w:rFonts w:asciiTheme="minorHAnsi" w:hAnsiTheme="minorHAnsi" w:cstheme="minorHAnsi"/>
          <w:color w:val="000000"/>
        </w:rPr>
        <w:t>. Medication Assisted Treatment (MAT) combines the use of behavioral therapy with medications, such as methadone and buprenorphine, to treat Opioid Use Disorders (OUD). MAT is the evidence-based treatment for OUD.</w:t>
      </w:r>
    </w:p>
    <w:p w14:paraId="1EEB9270" w14:textId="77777777" w:rsidR="000347FB" w:rsidRPr="000347FB" w:rsidRDefault="000347FB" w:rsidP="000347FB">
      <w:pPr>
        <w:pStyle w:val="NormalWeb"/>
        <w:rPr>
          <w:rFonts w:asciiTheme="minorHAnsi" w:hAnsiTheme="minorHAnsi" w:cstheme="minorHAnsi"/>
          <w:color w:val="000000"/>
        </w:rPr>
      </w:pPr>
      <w:r w:rsidRPr="000347FB">
        <w:rPr>
          <w:rFonts w:asciiTheme="minorHAnsi" w:hAnsiTheme="minorHAnsi" w:cstheme="minorHAnsi"/>
          <w:color w:val="000000"/>
        </w:rPr>
        <w:t xml:space="preserve">MAT services are generally long term, and often require daily administration of medications. Individuals typically begin treatment and are closely monitored by daily visits to an opioid treatment clinic, where medications are administered. When individuals become stable and meet federal criteria, they can be allowed to self-administer their medications at home, with periodic check-ins to the clinic. This is important as it enables the individual to avoid a long and </w:t>
      </w:r>
      <w:r w:rsidRPr="000347FB">
        <w:rPr>
          <w:rFonts w:asciiTheme="minorHAnsi" w:hAnsiTheme="minorHAnsi" w:cstheme="minorHAnsi"/>
          <w:color w:val="000000"/>
        </w:rPr>
        <w:lastRenderedPageBreak/>
        <w:t>early morning trip to the clinic, and to be more independent and in control of their recovery through self-dosing (with periodic monitoring by clinic).</w:t>
      </w:r>
    </w:p>
    <w:p w14:paraId="4E5D8A5C" w14:textId="77777777" w:rsidR="000347FB" w:rsidRPr="000347FB" w:rsidRDefault="000347FB" w:rsidP="000347FB">
      <w:pPr>
        <w:pStyle w:val="NormalWeb"/>
        <w:rPr>
          <w:rFonts w:asciiTheme="minorHAnsi" w:hAnsiTheme="minorHAnsi" w:cstheme="minorHAnsi"/>
          <w:color w:val="000000"/>
        </w:rPr>
      </w:pPr>
      <w:r w:rsidRPr="000347FB">
        <w:rPr>
          <w:rFonts w:asciiTheme="minorHAnsi" w:hAnsiTheme="minorHAnsi" w:cstheme="minorHAnsi"/>
          <w:color w:val="000000"/>
        </w:rPr>
        <w:t xml:space="preserve">In Texas, there are two significant payers for MAT services: the substance abuse prevention and treatment (SAPT) block grant and Medicaid. The SAPT block grant funds pays a daily bundled rate for MAT (to include counseling and other services that support recovery) for both daily clinic </w:t>
      </w:r>
      <w:r w:rsidR="005D7B2C">
        <w:rPr>
          <w:rFonts w:asciiTheme="minorHAnsi" w:hAnsiTheme="minorHAnsi" w:cstheme="minorHAnsi"/>
          <w:color w:val="000000"/>
        </w:rPr>
        <w:t>and</w:t>
      </w:r>
      <w:r w:rsidR="005D7B2C" w:rsidRPr="000347FB">
        <w:rPr>
          <w:rFonts w:asciiTheme="minorHAnsi" w:hAnsiTheme="minorHAnsi" w:cstheme="minorHAnsi"/>
          <w:color w:val="000000"/>
        </w:rPr>
        <w:t xml:space="preserve"> </w:t>
      </w:r>
      <w:r w:rsidRPr="000347FB">
        <w:rPr>
          <w:rFonts w:asciiTheme="minorHAnsi" w:hAnsiTheme="minorHAnsi" w:cstheme="minorHAnsi"/>
          <w:color w:val="000000"/>
        </w:rPr>
        <w:t>also for take</w:t>
      </w:r>
      <w:r w:rsidR="005D7B2C">
        <w:rPr>
          <w:rFonts w:asciiTheme="minorHAnsi" w:hAnsiTheme="minorHAnsi" w:cstheme="minorHAnsi"/>
          <w:color w:val="000000"/>
        </w:rPr>
        <w:t>-</w:t>
      </w:r>
      <w:r w:rsidRPr="000347FB">
        <w:rPr>
          <w:rFonts w:asciiTheme="minorHAnsi" w:hAnsiTheme="minorHAnsi" w:cstheme="minorHAnsi"/>
          <w:color w:val="000000"/>
        </w:rPr>
        <w:t>home doses.</w:t>
      </w:r>
    </w:p>
    <w:p w14:paraId="7591C3AF" w14:textId="77777777" w:rsidR="0098343D" w:rsidRPr="000347FB" w:rsidRDefault="000347FB" w:rsidP="000347FB">
      <w:pPr>
        <w:pStyle w:val="NormalWeb"/>
        <w:rPr>
          <w:rFonts w:asciiTheme="minorHAnsi" w:hAnsiTheme="minorHAnsi" w:cstheme="minorHAnsi"/>
          <w:color w:val="000000"/>
        </w:rPr>
      </w:pPr>
      <w:r w:rsidRPr="000347FB">
        <w:rPr>
          <w:rFonts w:asciiTheme="minorHAnsi" w:hAnsiTheme="minorHAnsi" w:cstheme="minorHAnsi"/>
          <w:color w:val="000000"/>
        </w:rPr>
        <w:t>Medicaid does not pay a bundled rate, and there are separate reimbursement rates for clinic based dosing, take home dosing, and counseling.</w:t>
      </w:r>
    </w:p>
    <w:p w14:paraId="740D0FBA" w14:textId="77777777" w:rsidR="00716E07" w:rsidRPr="00716E07" w:rsidRDefault="00716E07" w:rsidP="00716E07">
      <w:pPr>
        <w:spacing w:line="256" w:lineRule="auto"/>
        <w:rPr>
          <w:rFonts w:cstheme="minorHAnsi"/>
          <w:sz w:val="23"/>
          <w:szCs w:val="23"/>
        </w:rPr>
      </w:pPr>
    </w:p>
    <w:p w14:paraId="342135DA" w14:textId="164BB007" w:rsidR="00716E07" w:rsidRPr="00716E07" w:rsidRDefault="00716E07" w:rsidP="00716E07">
      <w:pPr>
        <w:spacing w:after="0" w:line="240" w:lineRule="auto"/>
        <w:rPr>
          <w:rFonts w:ascii="Verdana" w:hAnsi="Verdana"/>
          <w:b/>
          <w:sz w:val="20"/>
          <w:szCs w:val="20"/>
        </w:rPr>
      </w:pPr>
      <w:r w:rsidRPr="00716E07">
        <w:rPr>
          <w:rFonts w:ascii="Verdana" w:hAnsi="Verdana"/>
          <w:b/>
          <w:sz w:val="20"/>
          <w:szCs w:val="20"/>
        </w:rPr>
        <w:t>Recommendation #</w:t>
      </w:r>
      <w:r w:rsidR="007D370B">
        <w:rPr>
          <w:rFonts w:ascii="Verdana" w:hAnsi="Verdana"/>
          <w:b/>
          <w:sz w:val="20"/>
          <w:szCs w:val="20"/>
        </w:rPr>
        <w:t>7</w:t>
      </w:r>
      <w:r w:rsidRPr="00716E07">
        <w:rPr>
          <w:rFonts w:ascii="Verdana" w:hAnsi="Verdana"/>
          <w:b/>
          <w:sz w:val="20"/>
          <w:szCs w:val="20"/>
        </w:rPr>
        <w:t>:</w:t>
      </w:r>
    </w:p>
    <w:p w14:paraId="791BB998" w14:textId="77777777" w:rsidR="00716E07" w:rsidRPr="00716E07" w:rsidRDefault="00716E07" w:rsidP="00716E07">
      <w:pPr>
        <w:spacing w:line="256" w:lineRule="auto"/>
        <w:rPr>
          <w:rFonts w:cstheme="minorHAnsi"/>
          <w:sz w:val="23"/>
          <w:szCs w:val="23"/>
        </w:rPr>
      </w:pPr>
    </w:p>
    <w:p w14:paraId="37ABEE69" w14:textId="340CA050" w:rsidR="00716E07" w:rsidRPr="00F8208E" w:rsidRDefault="00716E07" w:rsidP="00716E07">
      <w:pPr>
        <w:rPr>
          <w:i/>
          <w:sz w:val="24"/>
          <w:szCs w:val="24"/>
        </w:rPr>
      </w:pPr>
      <w:r w:rsidRPr="00F8208E">
        <w:rPr>
          <w:i/>
          <w:sz w:val="24"/>
          <w:szCs w:val="24"/>
        </w:rPr>
        <w:t>HHSC should clarify that MCO APMs with providers may include models that reduce administrative burden for high performing providers as a non-financial incentive. This may require changes to the Uniform Managed Care Contract (UMCC) and/or Uniform Managed Care Manual (UMCM), including the Value Based Contracting Data Collection Tool.</w:t>
      </w:r>
    </w:p>
    <w:p w14:paraId="59E60517" w14:textId="636EE01F" w:rsidR="00716E07" w:rsidRPr="00F8208E" w:rsidRDefault="00FE430F" w:rsidP="00716E07">
      <w:pPr>
        <w:rPr>
          <w:rFonts w:cs="Times New Roman"/>
          <w:sz w:val="24"/>
          <w:szCs w:val="24"/>
        </w:rPr>
      </w:pPr>
      <w:r>
        <w:rPr>
          <w:rFonts w:cs="Times New Roman"/>
          <w:sz w:val="24"/>
          <w:szCs w:val="24"/>
        </w:rPr>
        <w:t xml:space="preserve">Background: </w:t>
      </w:r>
      <w:r w:rsidR="00716E07" w:rsidRPr="00F8208E">
        <w:rPr>
          <w:rFonts w:cs="Times New Roman"/>
          <w:sz w:val="24"/>
          <w:szCs w:val="24"/>
        </w:rPr>
        <w:t>Many providers indicate that reduced administrative burden is as important to them (or even more important) than financial incentives. HHSC held a series of stakeholder meetings in 2015 to</w:t>
      </w:r>
      <w:r w:rsidR="002C1E27" w:rsidRPr="00F8208E">
        <w:rPr>
          <w:rFonts w:cs="Times New Roman"/>
          <w:sz w:val="24"/>
          <w:szCs w:val="24"/>
        </w:rPr>
        <w:t xml:space="preserve"> identify opportunities to</w:t>
      </w:r>
      <w:r w:rsidR="00716E07" w:rsidRPr="00F8208E">
        <w:rPr>
          <w:rFonts w:cs="Times New Roman"/>
          <w:sz w:val="24"/>
          <w:szCs w:val="24"/>
        </w:rPr>
        <w:t xml:space="preserve"> improve member and provider experience in Medicaid managed care. One of the recommendations received at that time was that HHSC should encourage MCOs to “gold star” provider practices that can show a history of proper utilization of medical services and waiver certain prior authorization requirements for those practices. HHSC responded that health plans are able to utilize this practice, and that its contract language for fiscal year 2018 categorized this kind of administrative relief (i.e. gold carding a provider) as an APM that counts toward the MCO targets in the contract.</w:t>
      </w:r>
      <w:r w:rsidR="00716E07" w:rsidRPr="00F8208E">
        <w:rPr>
          <w:rFonts w:cs="Times New Roman"/>
          <w:sz w:val="24"/>
          <w:szCs w:val="24"/>
          <w:vertAlign w:val="superscript"/>
        </w:rPr>
        <w:footnoteReference w:id="3"/>
      </w:r>
      <w:r w:rsidR="00716E07" w:rsidRPr="00F8208E">
        <w:rPr>
          <w:rFonts w:cs="Times New Roman"/>
          <w:sz w:val="24"/>
          <w:szCs w:val="24"/>
        </w:rPr>
        <w:t xml:space="preserve"> </w:t>
      </w:r>
    </w:p>
    <w:p w14:paraId="685E201D" w14:textId="52E773E2" w:rsidR="00716E07" w:rsidRPr="00F8208E" w:rsidRDefault="00716E07" w:rsidP="00716E07">
      <w:pPr>
        <w:rPr>
          <w:rFonts w:cs="Times New Roman"/>
          <w:sz w:val="24"/>
          <w:szCs w:val="24"/>
        </w:rPr>
      </w:pPr>
      <w:r w:rsidRPr="00F8208E">
        <w:rPr>
          <w:rFonts w:cs="Times New Roman"/>
          <w:sz w:val="24"/>
          <w:szCs w:val="24"/>
        </w:rPr>
        <w:t xml:space="preserve">However, the current UMCC and UMCM do not explicitly reference administrative relief as an allowable APM non-financial incentive. We recommend that HHSC explicitly include “gold carding” and associated administrative relief as an allowable component of an APM and encourage MCOs to explore these arrangements as appropriate with </w:t>
      </w:r>
      <w:r w:rsidR="00412148" w:rsidRPr="00F8208E">
        <w:rPr>
          <w:rFonts w:cs="Times New Roman"/>
          <w:sz w:val="24"/>
          <w:szCs w:val="24"/>
        </w:rPr>
        <w:t xml:space="preserve">high performing </w:t>
      </w:r>
      <w:r w:rsidRPr="00F8208E">
        <w:rPr>
          <w:rFonts w:cs="Times New Roman"/>
          <w:sz w:val="24"/>
          <w:szCs w:val="24"/>
        </w:rPr>
        <w:t xml:space="preserve">provider practices.   </w:t>
      </w:r>
    </w:p>
    <w:p w14:paraId="7E02F3CA" w14:textId="77777777" w:rsidR="0000046C" w:rsidRPr="00F8208E" w:rsidRDefault="0000046C" w:rsidP="002219B2">
      <w:pPr>
        <w:ind w:left="720"/>
        <w:rPr>
          <w:sz w:val="24"/>
          <w:szCs w:val="24"/>
        </w:rPr>
      </w:pPr>
    </w:p>
    <w:sectPr w:rsidR="0000046C" w:rsidRPr="00F820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3304" w14:textId="77777777" w:rsidR="009E6484" w:rsidRDefault="009E6484" w:rsidP="00300F75">
      <w:pPr>
        <w:spacing w:after="0" w:line="240" w:lineRule="auto"/>
      </w:pPr>
      <w:r>
        <w:separator/>
      </w:r>
    </w:p>
  </w:endnote>
  <w:endnote w:type="continuationSeparator" w:id="0">
    <w:p w14:paraId="375C38DD" w14:textId="77777777" w:rsidR="009E6484" w:rsidRDefault="009E6484" w:rsidP="0030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6159" w14:textId="77777777" w:rsidR="00FE430F" w:rsidRDefault="00FE4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E07F" w14:textId="5AE1CFE3" w:rsidR="009819AE" w:rsidRPr="00E96270" w:rsidRDefault="009819AE">
    <w:pPr>
      <w:pStyle w:val="Footer"/>
    </w:pPr>
    <w:r w:rsidRPr="009819AE">
      <w:rPr>
        <w:i/>
      </w:rPr>
      <w:tab/>
    </w:r>
    <w:r w:rsidR="00E96270" w:rsidRPr="00E96270">
      <w:fldChar w:fldCharType="begin"/>
    </w:r>
    <w:r w:rsidR="00E96270" w:rsidRPr="00E96270">
      <w:instrText xml:space="preserve"> PAGE   \* MERGEFORMAT </w:instrText>
    </w:r>
    <w:r w:rsidR="00E96270" w:rsidRPr="00E96270">
      <w:fldChar w:fldCharType="separate"/>
    </w:r>
    <w:r w:rsidR="0007609A">
      <w:rPr>
        <w:noProof/>
      </w:rPr>
      <w:t>1</w:t>
    </w:r>
    <w:r w:rsidR="00E96270" w:rsidRPr="00E96270">
      <w:rPr>
        <w:noProof/>
      </w:rPr>
      <w:fldChar w:fldCharType="end"/>
    </w:r>
  </w:p>
  <w:p w14:paraId="2C7C4DBE" w14:textId="77777777" w:rsidR="00300F75" w:rsidRDefault="00300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B3BA" w14:textId="77777777" w:rsidR="00FE430F" w:rsidRDefault="00FE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79F82" w14:textId="77777777" w:rsidR="009E6484" w:rsidRDefault="009E6484" w:rsidP="00300F75">
      <w:pPr>
        <w:spacing w:after="0" w:line="240" w:lineRule="auto"/>
      </w:pPr>
      <w:r>
        <w:separator/>
      </w:r>
    </w:p>
  </w:footnote>
  <w:footnote w:type="continuationSeparator" w:id="0">
    <w:p w14:paraId="5AFC9B89" w14:textId="77777777" w:rsidR="009E6484" w:rsidRDefault="009E6484" w:rsidP="00300F75">
      <w:pPr>
        <w:spacing w:after="0" w:line="240" w:lineRule="auto"/>
      </w:pPr>
      <w:r>
        <w:continuationSeparator/>
      </w:r>
    </w:p>
  </w:footnote>
  <w:footnote w:id="1">
    <w:p w14:paraId="057BA9C4" w14:textId="77777777" w:rsidR="009D4888" w:rsidRPr="000F7068" w:rsidRDefault="009D4888" w:rsidP="009D4888">
      <w:pPr>
        <w:pStyle w:val="FootnoteText"/>
        <w:rPr>
          <w:rFonts w:ascii="Times New Roman" w:hAnsi="Times New Roman" w:cs="Times New Roman"/>
        </w:rPr>
      </w:pPr>
      <w:r w:rsidRPr="000F7068">
        <w:rPr>
          <w:rStyle w:val="FootnoteReference"/>
          <w:rFonts w:ascii="Times New Roman" w:hAnsi="Times New Roman" w:cs="Times New Roman"/>
        </w:rPr>
        <w:footnoteRef/>
      </w:r>
      <w:r w:rsidRPr="000F7068">
        <w:rPr>
          <w:rFonts w:ascii="Times New Roman" w:hAnsi="Times New Roman" w:cs="Times New Roman"/>
        </w:rPr>
        <w:t xml:space="preserve"> </w:t>
      </w:r>
      <w:r>
        <w:rPr>
          <w:rFonts w:ascii="Times New Roman" w:hAnsi="Times New Roman" w:cs="Times New Roman"/>
        </w:rPr>
        <w:t>H. M. Dahlen</w:t>
      </w:r>
      <w:r w:rsidRPr="001840E2">
        <w:rPr>
          <w:rFonts w:ascii="Times New Roman" w:hAnsi="Times New Roman" w:cs="Times New Roman"/>
        </w:rPr>
        <w:t xml:space="preserve"> et al., "</w:t>
      </w:r>
      <w:r>
        <w:rPr>
          <w:rFonts w:ascii="Times New Roman" w:hAnsi="Times New Roman" w:cs="Times New Roman"/>
        </w:rPr>
        <w:t>Texas Medicaid Payment Reform:  Fewer Early Elective Deliveries and Increased Gestational Age and Birthweight</w:t>
      </w:r>
      <w:r w:rsidRPr="001840E2">
        <w:rPr>
          <w:rFonts w:ascii="Times New Roman" w:hAnsi="Times New Roman" w:cs="Times New Roman"/>
        </w:rPr>
        <w:t xml:space="preserve">," </w:t>
      </w:r>
      <w:r w:rsidRPr="008E55EA">
        <w:rPr>
          <w:rFonts w:ascii="Times New Roman" w:hAnsi="Times New Roman" w:cs="Times New Roman"/>
        </w:rPr>
        <w:t>Health Affairs</w:t>
      </w:r>
      <w:r w:rsidRPr="001840E2">
        <w:rPr>
          <w:rFonts w:ascii="Times New Roman" w:hAnsi="Times New Roman" w:cs="Times New Roman"/>
        </w:rPr>
        <w:t xml:space="preserve"> </w:t>
      </w:r>
      <w:r>
        <w:rPr>
          <w:rFonts w:ascii="Times New Roman" w:hAnsi="Times New Roman" w:cs="Times New Roman"/>
        </w:rPr>
        <w:t>36</w:t>
      </w:r>
      <w:r w:rsidRPr="001840E2">
        <w:rPr>
          <w:rFonts w:ascii="Times New Roman" w:hAnsi="Times New Roman" w:cs="Times New Roman"/>
        </w:rPr>
        <w:t xml:space="preserve">, no. </w:t>
      </w:r>
      <w:r>
        <w:rPr>
          <w:rFonts w:ascii="Times New Roman" w:hAnsi="Times New Roman" w:cs="Times New Roman"/>
        </w:rPr>
        <w:t>3</w:t>
      </w:r>
      <w:r w:rsidRPr="001840E2">
        <w:rPr>
          <w:rFonts w:ascii="Times New Roman" w:hAnsi="Times New Roman" w:cs="Times New Roman"/>
        </w:rPr>
        <w:t xml:space="preserve"> (20</w:t>
      </w:r>
      <w:r>
        <w:rPr>
          <w:rFonts w:ascii="Times New Roman" w:hAnsi="Times New Roman" w:cs="Times New Roman"/>
        </w:rPr>
        <w:t>17</w:t>
      </w:r>
      <w:r w:rsidRPr="001840E2">
        <w:rPr>
          <w:rFonts w:ascii="Times New Roman" w:hAnsi="Times New Roman" w:cs="Times New Roman"/>
        </w:rPr>
        <w:t>)</w:t>
      </w:r>
      <w:r>
        <w:rPr>
          <w:rFonts w:ascii="Times New Roman" w:hAnsi="Times New Roman" w:cs="Times New Roman"/>
        </w:rPr>
        <w:t>,</w:t>
      </w:r>
      <w:r w:rsidRPr="001840E2">
        <w:rPr>
          <w:rFonts w:ascii="Times New Roman" w:hAnsi="Times New Roman" w:cs="Times New Roman"/>
        </w:rPr>
        <w:t xml:space="preserve"> </w:t>
      </w:r>
      <w:r>
        <w:rPr>
          <w:rFonts w:ascii="Times New Roman" w:hAnsi="Times New Roman" w:cs="Times New Roman"/>
        </w:rPr>
        <w:t xml:space="preserve">460-467, </w:t>
      </w:r>
      <w:hyperlink r:id="rId1" w:history="1">
        <w:r w:rsidRPr="00DE043C">
          <w:rPr>
            <w:rStyle w:val="Hyperlink"/>
            <w:rFonts w:ascii="Times New Roman" w:hAnsi="Times New Roman" w:cs="Times New Roman"/>
          </w:rPr>
          <w:t>http://content.healthaffairs.org/content/36/3/460.full</w:t>
        </w:r>
      </w:hyperlink>
      <w:r>
        <w:rPr>
          <w:rFonts w:ascii="Times New Roman" w:hAnsi="Times New Roman" w:cs="Times New Roman"/>
        </w:rPr>
        <w:t xml:space="preserve"> (accessed April 6, 2017).</w:t>
      </w:r>
    </w:p>
  </w:footnote>
  <w:footnote w:id="2">
    <w:p w14:paraId="742C71E8" w14:textId="77777777" w:rsidR="008867CA" w:rsidRDefault="008867CA" w:rsidP="008867CA">
      <w:pPr>
        <w:pStyle w:val="FootnoteText"/>
      </w:pPr>
      <w:r>
        <w:rPr>
          <w:rStyle w:val="FootnoteReference"/>
        </w:rPr>
        <w:footnoteRef/>
      </w:r>
      <w:r>
        <w:t xml:space="preserve"> Substance Abuse Mental Health Services Administration</w:t>
      </w:r>
    </w:p>
  </w:footnote>
  <w:footnote w:id="3">
    <w:p w14:paraId="66BE20FC" w14:textId="77777777" w:rsidR="00716E07" w:rsidRPr="00025CD5" w:rsidRDefault="00716E07" w:rsidP="00716E07">
      <w:pPr>
        <w:rPr>
          <w:rFonts w:ascii="Times New Roman" w:eastAsia="Times New Roman" w:hAnsi="Times New Roman" w:cs="Times New Roman"/>
          <w:sz w:val="24"/>
          <w:szCs w:val="24"/>
        </w:rPr>
      </w:pPr>
      <w:r>
        <w:rPr>
          <w:rStyle w:val="FootnoteReference"/>
        </w:rPr>
        <w:footnoteRef/>
      </w:r>
      <w:r>
        <w:t xml:space="preserve"> </w:t>
      </w:r>
      <w:r w:rsidRPr="00025CD5">
        <w:t xml:space="preserve">From </w:t>
      </w:r>
      <w:hyperlink r:id="rId2" w:history="1">
        <w:r w:rsidRPr="00196413">
          <w:rPr>
            <w:rStyle w:val="Hyperlink"/>
            <w:rFonts w:ascii="Times New Roman" w:eastAsia="Times New Roman" w:hAnsi="Times New Roman" w:cs="Times New Roman"/>
            <w:iCs/>
            <w:sz w:val="24"/>
            <w:szCs w:val="24"/>
          </w:rPr>
          <w:t>https://hhs.texas.gov/sites/.../medicaid-chip-ec-comm-july-2017-closed-items.pdf</w:t>
        </w:r>
      </w:hyperlink>
      <w:r>
        <w:rPr>
          <w:rFonts w:ascii="Times New Roman" w:eastAsia="Times New Roman" w:hAnsi="Times New Roman" w:cs="Times New Roman"/>
          <w:iCs/>
          <w:sz w:val="24"/>
          <w:szCs w:val="24"/>
        </w:rPr>
        <w:t xml:space="preserve"> . Page 18, accessed 4/24/2018</w:t>
      </w:r>
    </w:p>
    <w:p w14:paraId="27044242" w14:textId="77777777" w:rsidR="00716E07" w:rsidRDefault="00716E07" w:rsidP="00716E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199D" w14:textId="77777777" w:rsidR="00FE430F" w:rsidRDefault="00FE4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89C8" w14:textId="77777777" w:rsidR="00E96270" w:rsidRPr="009819AE" w:rsidRDefault="009E6484" w:rsidP="00E96270">
    <w:pPr>
      <w:pStyle w:val="Footer"/>
      <w:rPr>
        <w:i/>
      </w:rPr>
    </w:pPr>
    <w:sdt>
      <w:sdtPr>
        <w:rPr>
          <w:i/>
        </w:rPr>
        <w:id w:val="643243838"/>
        <w:docPartObj>
          <w:docPartGallery w:val="Watermarks"/>
          <w:docPartUnique/>
        </w:docPartObj>
      </w:sdtPr>
      <w:sdtEndPr/>
      <w:sdtContent>
        <w:r>
          <w:rPr>
            <w:i/>
            <w:noProof/>
          </w:rPr>
          <w:pict w14:anchorId="67010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863715"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E96270" w:rsidRPr="009819AE">
      <w:rPr>
        <w:i/>
      </w:rPr>
      <w:tab/>
    </w:r>
    <w:r w:rsidR="00595B79">
      <w:rPr>
        <w:i/>
      </w:rPr>
      <w:t xml:space="preserve">DRAFT </w:t>
    </w:r>
    <w:r w:rsidR="00F86B00">
      <w:rPr>
        <w:i/>
      </w:rPr>
      <w:t>VBPQI Advisory Committee Meeting</w:t>
    </w:r>
    <w:r w:rsidR="00595B79">
      <w:rPr>
        <w:i/>
      </w:rPr>
      <w:t xml:space="preserve"> Recommendations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08DD" w14:textId="77777777" w:rsidR="00FE430F" w:rsidRDefault="00FE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C5B"/>
    <w:multiLevelType w:val="hybridMultilevel"/>
    <w:tmpl w:val="BEC4E2D2"/>
    <w:lvl w:ilvl="0" w:tplc="504CDD10">
      <w:start w:val="1"/>
      <w:numFmt w:val="bullet"/>
      <w:lvlText w:val="–"/>
      <w:lvlJc w:val="left"/>
      <w:pPr>
        <w:tabs>
          <w:tab w:val="num" w:pos="720"/>
        </w:tabs>
        <w:ind w:left="720" w:hanging="360"/>
      </w:pPr>
      <w:rPr>
        <w:rFonts w:ascii="Arial" w:hAnsi="Arial" w:hint="default"/>
      </w:rPr>
    </w:lvl>
    <w:lvl w:ilvl="1" w:tplc="34F611EE">
      <w:start w:val="1"/>
      <w:numFmt w:val="bullet"/>
      <w:lvlText w:val="–"/>
      <w:lvlJc w:val="left"/>
      <w:pPr>
        <w:tabs>
          <w:tab w:val="num" w:pos="1440"/>
        </w:tabs>
        <w:ind w:left="1440" w:hanging="360"/>
      </w:pPr>
      <w:rPr>
        <w:rFonts w:ascii="Arial" w:hAnsi="Arial" w:hint="default"/>
      </w:rPr>
    </w:lvl>
    <w:lvl w:ilvl="2" w:tplc="3B383A84" w:tentative="1">
      <w:start w:val="1"/>
      <w:numFmt w:val="bullet"/>
      <w:lvlText w:val="–"/>
      <w:lvlJc w:val="left"/>
      <w:pPr>
        <w:tabs>
          <w:tab w:val="num" w:pos="2160"/>
        </w:tabs>
        <w:ind w:left="2160" w:hanging="360"/>
      </w:pPr>
      <w:rPr>
        <w:rFonts w:ascii="Arial" w:hAnsi="Arial" w:hint="default"/>
      </w:rPr>
    </w:lvl>
    <w:lvl w:ilvl="3" w:tplc="30128BBC" w:tentative="1">
      <w:start w:val="1"/>
      <w:numFmt w:val="bullet"/>
      <w:lvlText w:val="–"/>
      <w:lvlJc w:val="left"/>
      <w:pPr>
        <w:tabs>
          <w:tab w:val="num" w:pos="2880"/>
        </w:tabs>
        <w:ind w:left="2880" w:hanging="360"/>
      </w:pPr>
      <w:rPr>
        <w:rFonts w:ascii="Arial" w:hAnsi="Arial" w:hint="default"/>
      </w:rPr>
    </w:lvl>
    <w:lvl w:ilvl="4" w:tplc="17D6E642" w:tentative="1">
      <w:start w:val="1"/>
      <w:numFmt w:val="bullet"/>
      <w:lvlText w:val="–"/>
      <w:lvlJc w:val="left"/>
      <w:pPr>
        <w:tabs>
          <w:tab w:val="num" w:pos="3600"/>
        </w:tabs>
        <w:ind w:left="3600" w:hanging="360"/>
      </w:pPr>
      <w:rPr>
        <w:rFonts w:ascii="Arial" w:hAnsi="Arial" w:hint="default"/>
      </w:rPr>
    </w:lvl>
    <w:lvl w:ilvl="5" w:tplc="1A128F2E" w:tentative="1">
      <w:start w:val="1"/>
      <w:numFmt w:val="bullet"/>
      <w:lvlText w:val="–"/>
      <w:lvlJc w:val="left"/>
      <w:pPr>
        <w:tabs>
          <w:tab w:val="num" w:pos="4320"/>
        </w:tabs>
        <w:ind w:left="4320" w:hanging="360"/>
      </w:pPr>
      <w:rPr>
        <w:rFonts w:ascii="Arial" w:hAnsi="Arial" w:hint="default"/>
      </w:rPr>
    </w:lvl>
    <w:lvl w:ilvl="6" w:tplc="722C879C" w:tentative="1">
      <w:start w:val="1"/>
      <w:numFmt w:val="bullet"/>
      <w:lvlText w:val="–"/>
      <w:lvlJc w:val="left"/>
      <w:pPr>
        <w:tabs>
          <w:tab w:val="num" w:pos="5040"/>
        </w:tabs>
        <w:ind w:left="5040" w:hanging="360"/>
      </w:pPr>
      <w:rPr>
        <w:rFonts w:ascii="Arial" w:hAnsi="Arial" w:hint="default"/>
      </w:rPr>
    </w:lvl>
    <w:lvl w:ilvl="7" w:tplc="0682EDEE" w:tentative="1">
      <w:start w:val="1"/>
      <w:numFmt w:val="bullet"/>
      <w:lvlText w:val="–"/>
      <w:lvlJc w:val="left"/>
      <w:pPr>
        <w:tabs>
          <w:tab w:val="num" w:pos="5760"/>
        </w:tabs>
        <w:ind w:left="5760" w:hanging="360"/>
      </w:pPr>
      <w:rPr>
        <w:rFonts w:ascii="Arial" w:hAnsi="Arial" w:hint="default"/>
      </w:rPr>
    </w:lvl>
    <w:lvl w:ilvl="8" w:tplc="7A1C20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E4CE6"/>
    <w:multiLevelType w:val="hybridMultilevel"/>
    <w:tmpl w:val="C6D4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7F06"/>
    <w:multiLevelType w:val="hybridMultilevel"/>
    <w:tmpl w:val="694E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1AFB"/>
    <w:multiLevelType w:val="hybridMultilevel"/>
    <w:tmpl w:val="75EC61B8"/>
    <w:lvl w:ilvl="0" w:tplc="5FCECD5C">
      <w:start w:val="1"/>
      <w:numFmt w:val="bullet"/>
      <w:lvlText w:val="–"/>
      <w:lvlJc w:val="left"/>
      <w:pPr>
        <w:tabs>
          <w:tab w:val="num" w:pos="720"/>
        </w:tabs>
        <w:ind w:left="720" w:hanging="360"/>
      </w:pPr>
      <w:rPr>
        <w:rFonts w:ascii="Arial" w:hAnsi="Arial" w:hint="default"/>
      </w:rPr>
    </w:lvl>
    <w:lvl w:ilvl="1" w:tplc="FFC26586">
      <w:start w:val="1"/>
      <w:numFmt w:val="bullet"/>
      <w:lvlText w:val="–"/>
      <w:lvlJc w:val="left"/>
      <w:pPr>
        <w:tabs>
          <w:tab w:val="num" w:pos="1440"/>
        </w:tabs>
        <w:ind w:left="1440" w:hanging="360"/>
      </w:pPr>
      <w:rPr>
        <w:rFonts w:ascii="Arial" w:hAnsi="Arial" w:hint="default"/>
      </w:rPr>
    </w:lvl>
    <w:lvl w:ilvl="2" w:tplc="667654FC" w:tentative="1">
      <w:start w:val="1"/>
      <w:numFmt w:val="bullet"/>
      <w:lvlText w:val="–"/>
      <w:lvlJc w:val="left"/>
      <w:pPr>
        <w:tabs>
          <w:tab w:val="num" w:pos="2160"/>
        </w:tabs>
        <w:ind w:left="2160" w:hanging="360"/>
      </w:pPr>
      <w:rPr>
        <w:rFonts w:ascii="Arial" w:hAnsi="Arial" w:hint="default"/>
      </w:rPr>
    </w:lvl>
    <w:lvl w:ilvl="3" w:tplc="C5E6A07C" w:tentative="1">
      <w:start w:val="1"/>
      <w:numFmt w:val="bullet"/>
      <w:lvlText w:val="–"/>
      <w:lvlJc w:val="left"/>
      <w:pPr>
        <w:tabs>
          <w:tab w:val="num" w:pos="2880"/>
        </w:tabs>
        <w:ind w:left="2880" w:hanging="360"/>
      </w:pPr>
      <w:rPr>
        <w:rFonts w:ascii="Arial" w:hAnsi="Arial" w:hint="default"/>
      </w:rPr>
    </w:lvl>
    <w:lvl w:ilvl="4" w:tplc="43F0D6EA" w:tentative="1">
      <w:start w:val="1"/>
      <w:numFmt w:val="bullet"/>
      <w:lvlText w:val="–"/>
      <w:lvlJc w:val="left"/>
      <w:pPr>
        <w:tabs>
          <w:tab w:val="num" w:pos="3600"/>
        </w:tabs>
        <w:ind w:left="3600" w:hanging="360"/>
      </w:pPr>
      <w:rPr>
        <w:rFonts w:ascii="Arial" w:hAnsi="Arial" w:hint="default"/>
      </w:rPr>
    </w:lvl>
    <w:lvl w:ilvl="5" w:tplc="6A2A6A02" w:tentative="1">
      <w:start w:val="1"/>
      <w:numFmt w:val="bullet"/>
      <w:lvlText w:val="–"/>
      <w:lvlJc w:val="left"/>
      <w:pPr>
        <w:tabs>
          <w:tab w:val="num" w:pos="4320"/>
        </w:tabs>
        <w:ind w:left="4320" w:hanging="360"/>
      </w:pPr>
      <w:rPr>
        <w:rFonts w:ascii="Arial" w:hAnsi="Arial" w:hint="default"/>
      </w:rPr>
    </w:lvl>
    <w:lvl w:ilvl="6" w:tplc="428C8108" w:tentative="1">
      <w:start w:val="1"/>
      <w:numFmt w:val="bullet"/>
      <w:lvlText w:val="–"/>
      <w:lvlJc w:val="left"/>
      <w:pPr>
        <w:tabs>
          <w:tab w:val="num" w:pos="5040"/>
        </w:tabs>
        <w:ind w:left="5040" w:hanging="360"/>
      </w:pPr>
      <w:rPr>
        <w:rFonts w:ascii="Arial" w:hAnsi="Arial" w:hint="default"/>
      </w:rPr>
    </w:lvl>
    <w:lvl w:ilvl="7" w:tplc="7AD6CA7A" w:tentative="1">
      <w:start w:val="1"/>
      <w:numFmt w:val="bullet"/>
      <w:lvlText w:val="–"/>
      <w:lvlJc w:val="left"/>
      <w:pPr>
        <w:tabs>
          <w:tab w:val="num" w:pos="5760"/>
        </w:tabs>
        <w:ind w:left="5760" w:hanging="360"/>
      </w:pPr>
      <w:rPr>
        <w:rFonts w:ascii="Arial" w:hAnsi="Arial" w:hint="default"/>
      </w:rPr>
    </w:lvl>
    <w:lvl w:ilvl="8" w:tplc="50B0F4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D73C3"/>
    <w:multiLevelType w:val="hybridMultilevel"/>
    <w:tmpl w:val="BC38600A"/>
    <w:lvl w:ilvl="0" w:tplc="E8407E1A">
      <w:start w:val="1"/>
      <w:numFmt w:val="bullet"/>
      <w:lvlText w:val="–"/>
      <w:lvlJc w:val="left"/>
      <w:pPr>
        <w:tabs>
          <w:tab w:val="num" w:pos="720"/>
        </w:tabs>
        <w:ind w:left="720" w:hanging="360"/>
      </w:pPr>
      <w:rPr>
        <w:rFonts w:ascii="Arial" w:hAnsi="Arial" w:hint="default"/>
      </w:rPr>
    </w:lvl>
    <w:lvl w:ilvl="1" w:tplc="280A6E3A">
      <w:start w:val="1"/>
      <w:numFmt w:val="bullet"/>
      <w:lvlText w:val="–"/>
      <w:lvlJc w:val="left"/>
      <w:pPr>
        <w:tabs>
          <w:tab w:val="num" w:pos="1440"/>
        </w:tabs>
        <w:ind w:left="1440" w:hanging="360"/>
      </w:pPr>
      <w:rPr>
        <w:rFonts w:ascii="Arial" w:hAnsi="Arial" w:hint="default"/>
      </w:rPr>
    </w:lvl>
    <w:lvl w:ilvl="2" w:tplc="32CE569C" w:tentative="1">
      <w:start w:val="1"/>
      <w:numFmt w:val="bullet"/>
      <w:lvlText w:val="–"/>
      <w:lvlJc w:val="left"/>
      <w:pPr>
        <w:tabs>
          <w:tab w:val="num" w:pos="2160"/>
        </w:tabs>
        <w:ind w:left="2160" w:hanging="360"/>
      </w:pPr>
      <w:rPr>
        <w:rFonts w:ascii="Arial" w:hAnsi="Arial" w:hint="default"/>
      </w:rPr>
    </w:lvl>
    <w:lvl w:ilvl="3" w:tplc="F6F4A764" w:tentative="1">
      <w:start w:val="1"/>
      <w:numFmt w:val="bullet"/>
      <w:lvlText w:val="–"/>
      <w:lvlJc w:val="left"/>
      <w:pPr>
        <w:tabs>
          <w:tab w:val="num" w:pos="2880"/>
        </w:tabs>
        <w:ind w:left="2880" w:hanging="360"/>
      </w:pPr>
      <w:rPr>
        <w:rFonts w:ascii="Arial" w:hAnsi="Arial" w:hint="default"/>
      </w:rPr>
    </w:lvl>
    <w:lvl w:ilvl="4" w:tplc="390C0C66" w:tentative="1">
      <w:start w:val="1"/>
      <w:numFmt w:val="bullet"/>
      <w:lvlText w:val="–"/>
      <w:lvlJc w:val="left"/>
      <w:pPr>
        <w:tabs>
          <w:tab w:val="num" w:pos="3600"/>
        </w:tabs>
        <w:ind w:left="3600" w:hanging="360"/>
      </w:pPr>
      <w:rPr>
        <w:rFonts w:ascii="Arial" w:hAnsi="Arial" w:hint="default"/>
      </w:rPr>
    </w:lvl>
    <w:lvl w:ilvl="5" w:tplc="FE0E2960" w:tentative="1">
      <w:start w:val="1"/>
      <w:numFmt w:val="bullet"/>
      <w:lvlText w:val="–"/>
      <w:lvlJc w:val="left"/>
      <w:pPr>
        <w:tabs>
          <w:tab w:val="num" w:pos="4320"/>
        </w:tabs>
        <w:ind w:left="4320" w:hanging="360"/>
      </w:pPr>
      <w:rPr>
        <w:rFonts w:ascii="Arial" w:hAnsi="Arial" w:hint="default"/>
      </w:rPr>
    </w:lvl>
    <w:lvl w:ilvl="6" w:tplc="A4F6EEF0" w:tentative="1">
      <w:start w:val="1"/>
      <w:numFmt w:val="bullet"/>
      <w:lvlText w:val="–"/>
      <w:lvlJc w:val="left"/>
      <w:pPr>
        <w:tabs>
          <w:tab w:val="num" w:pos="5040"/>
        </w:tabs>
        <w:ind w:left="5040" w:hanging="360"/>
      </w:pPr>
      <w:rPr>
        <w:rFonts w:ascii="Arial" w:hAnsi="Arial" w:hint="default"/>
      </w:rPr>
    </w:lvl>
    <w:lvl w:ilvl="7" w:tplc="0622AB2E" w:tentative="1">
      <w:start w:val="1"/>
      <w:numFmt w:val="bullet"/>
      <w:lvlText w:val="–"/>
      <w:lvlJc w:val="left"/>
      <w:pPr>
        <w:tabs>
          <w:tab w:val="num" w:pos="5760"/>
        </w:tabs>
        <w:ind w:left="5760" w:hanging="360"/>
      </w:pPr>
      <w:rPr>
        <w:rFonts w:ascii="Arial" w:hAnsi="Arial" w:hint="default"/>
      </w:rPr>
    </w:lvl>
    <w:lvl w:ilvl="8" w:tplc="8800E5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D055D9"/>
    <w:multiLevelType w:val="hybridMultilevel"/>
    <w:tmpl w:val="4AD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05E72"/>
    <w:multiLevelType w:val="hybridMultilevel"/>
    <w:tmpl w:val="2D40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731C"/>
    <w:multiLevelType w:val="hybridMultilevel"/>
    <w:tmpl w:val="557A8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45744"/>
    <w:multiLevelType w:val="hybridMultilevel"/>
    <w:tmpl w:val="2456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93061"/>
    <w:multiLevelType w:val="hybridMultilevel"/>
    <w:tmpl w:val="672C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E3B2E"/>
    <w:multiLevelType w:val="hybridMultilevel"/>
    <w:tmpl w:val="80A60456"/>
    <w:lvl w:ilvl="0" w:tplc="F4D89DA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8A6DD3"/>
    <w:multiLevelType w:val="hybridMultilevel"/>
    <w:tmpl w:val="EC44928E"/>
    <w:lvl w:ilvl="0" w:tplc="D056E9EC">
      <w:start w:val="1"/>
      <w:numFmt w:val="bullet"/>
      <w:lvlText w:val="•"/>
      <w:lvlJc w:val="left"/>
      <w:pPr>
        <w:tabs>
          <w:tab w:val="num" w:pos="720"/>
        </w:tabs>
        <w:ind w:left="720" w:hanging="360"/>
      </w:pPr>
      <w:rPr>
        <w:rFonts w:ascii="Arial" w:hAnsi="Arial" w:hint="default"/>
      </w:rPr>
    </w:lvl>
    <w:lvl w:ilvl="1" w:tplc="8F7E67CA">
      <w:numFmt w:val="bullet"/>
      <w:lvlText w:val="–"/>
      <w:lvlJc w:val="left"/>
      <w:pPr>
        <w:tabs>
          <w:tab w:val="num" w:pos="1440"/>
        </w:tabs>
        <w:ind w:left="1440" w:hanging="360"/>
      </w:pPr>
      <w:rPr>
        <w:rFonts w:ascii="Arial" w:hAnsi="Arial" w:hint="default"/>
      </w:rPr>
    </w:lvl>
    <w:lvl w:ilvl="2" w:tplc="0F5EF37A" w:tentative="1">
      <w:start w:val="1"/>
      <w:numFmt w:val="bullet"/>
      <w:lvlText w:val="•"/>
      <w:lvlJc w:val="left"/>
      <w:pPr>
        <w:tabs>
          <w:tab w:val="num" w:pos="2160"/>
        </w:tabs>
        <w:ind w:left="2160" w:hanging="360"/>
      </w:pPr>
      <w:rPr>
        <w:rFonts w:ascii="Arial" w:hAnsi="Arial" w:hint="default"/>
      </w:rPr>
    </w:lvl>
    <w:lvl w:ilvl="3" w:tplc="1FE8544A" w:tentative="1">
      <w:start w:val="1"/>
      <w:numFmt w:val="bullet"/>
      <w:lvlText w:val="•"/>
      <w:lvlJc w:val="left"/>
      <w:pPr>
        <w:tabs>
          <w:tab w:val="num" w:pos="2880"/>
        </w:tabs>
        <w:ind w:left="2880" w:hanging="360"/>
      </w:pPr>
      <w:rPr>
        <w:rFonts w:ascii="Arial" w:hAnsi="Arial" w:hint="default"/>
      </w:rPr>
    </w:lvl>
    <w:lvl w:ilvl="4" w:tplc="3086D546" w:tentative="1">
      <w:start w:val="1"/>
      <w:numFmt w:val="bullet"/>
      <w:lvlText w:val="•"/>
      <w:lvlJc w:val="left"/>
      <w:pPr>
        <w:tabs>
          <w:tab w:val="num" w:pos="3600"/>
        </w:tabs>
        <w:ind w:left="3600" w:hanging="360"/>
      </w:pPr>
      <w:rPr>
        <w:rFonts w:ascii="Arial" w:hAnsi="Arial" w:hint="default"/>
      </w:rPr>
    </w:lvl>
    <w:lvl w:ilvl="5" w:tplc="5D0A9C02" w:tentative="1">
      <w:start w:val="1"/>
      <w:numFmt w:val="bullet"/>
      <w:lvlText w:val="•"/>
      <w:lvlJc w:val="left"/>
      <w:pPr>
        <w:tabs>
          <w:tab w:val="num" w:pos="4320"/>
        </w:tabs>
        <w:ind w:left="4320" w:hanging="360"/>
      </w:pPr>
      <w:rPr>
        <w:rFonts w:ascii="Arial" w:hAnsi="Arial" w:hint="default"/>
      </w:rPr>
    </w:lvl>
    <w:lvl w:ilvl="6" w:tplc="7152CB3A" w:tentative="1">
      <w:start w:val="1"/>
      <w:numFmt w:val="bullet"/>
      <w:lvlText w:val="•"/>
      <w:lvlJc w:val="left"/>
      <w:pPr>
        <w:tabs>
          <w:tab w:val="num" w:pos="5040"/>
        </w:tabs>
        <w:ind w:left="5040" w:hanging="360"/>
      </w:pPr>
      <w:rPr>
        <w:rFonts w:ascii="Arial" w:hAnsi="Arial" w:hint="default"/>
      </w:rPr>
    </w:lvl>
    <w:lvl w:ilvl="7" w:tplc="EA66D66A" w:tentative="1">
      <w:start w:val="1"/>
      <w:numFmt w:val="bullet"/>
      <w:lvlText w:val="•"/>
      <w:lvlJc w:val="left"/>
      <w:pPr>
        <w:tabs>
          <w:tab w:val="num" w:pos="5760"/>
        </w:tabs>
        <w:ind w:left="5760" w:hanging="360"/>
      </w:pPr>
      <w:rPr>
        <w:rFonts w:ascii="Arial" w:hAnsi="Arial" w:hint="default"/>
      </w:rPr>
    </w:lvl>
    <w:lvl w:ilvl="8" w:tplc="1FB4A6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771882"/>
    <w:multiLevelType w:val="hybridMultilevel"/>
    <w:tmpl w:val="E242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572E5"/>
    <w:multiLevelType w:val="hybridMultilevel"/>
    <w:tmpl w:val="199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65AB6"/>
    <w:multiLevelType w:val="hybridMultilevel"/>
    <w:tmpl w:val="98F8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13"/>
  </w:num>
  <w:num w:numId="5">
    <w:abstractNumId w:val="9"/>
  </w:num>
  <w:num w:numId="6">
    <w:abstractNumId w:val="12"/>
  </w:num>
  <w:num w:numId="7">
    <w:abstractNumId w:val="4"/>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0"/>
  </w:num>
  <w:num w:numId="13">
    <w:abstractNumId w:val="6"/>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7F"/>
    <w:rsid w:val="0000046C"/>
    <w:rsid w:val="00003BE2"/>
    <w:rsid w:val="0001473F"/>
    <w:rsid w:val="00015F00"/>
    <w:rsid w:val="00022156"/>
    <w:rsid w:val="00034070"/>
    <w:rsid w:val="000347FB"/>
    <w:rsid w:val="00074E6E"/>
    <w:rsid w:val="0007609A"/>
    <w:rsid w:val="000A42CE"/>
    <w:rsid w:val="000B0C93"/>
    <w:rsid w:val="000C07EF"/>
    <w:rsid w:val="000D5CA3"/>
    <w:rsid w:val="000D6B5B"/>
    <w:rsid w:val="00105C13"/>
    <w:rsid w:val="001135BF"/>
    <w:rsid w:val="00116193"/>
    <w:rsid w:val="00135227"/>
    <w:rsid w:val="00140175"/>
    <w:rsid w:val="00141DB3"/>
    <w:rsid w:val="00155CCC"/>
    <w:rsid w:val="0016630B"/>
    <w:rsid w:val="00170D23"/>
    <w:rsid w:val="00185EAD"/>
    <w:rsid w:val="00186ACE"/>
    <w:rsid w:val="00197B90"/>
    <w:rsid w:val="001A2DE0"/>
    <w:rsid w:val="001B4631"/>
    <w:rsid w:val="001F6F57"/>
    <w:rsid w:val="002157DE"/>
    <w:rsid w:val="0021600F"/>
    <w:rsid w:val="002219B2"/>
    <w:rsid w:val="00225834"/>
    <w:rsid w:val="0025000C"/>
    <w:rsid w:val="002625B2"/>
    <w:rsid w:val="002B21A9"/>
    <w:rsid w:val="002C0BB3"/>
    <w:rsid w:val="002C1E27"/>
    <w:rsid w:val="002C5F4F"/>
    <w:rsid w:val="002C7EF5"/>
    <w:rsid w:val="002F7564"/>
    <w:rsid w:val="00300F75"/>
    <w:rsid w:val="0032784F"/>
    <w:rsid w:val="00346D4B"/>
    <w:rsid w:val="0036010C"/>
    <w:rsid w:val="00394534"/>
    <w:rsid w:val="003B11F5"/>
    <w:rsid w:val="003B3E2D"/>
    <w:rsid w:val="003C7187"/>
    <w:rsid w:val="003E5C47"/>
    <w:rsid w:val="0040546A"/>
    <w:rsid w:val="00412148"/>
    <w:rsid w:val="00427070"/>
    <w:rsid w:val="00444ED6"/>
    <w:rsid w:val="0045518C"/>
    <w:rsid w:val="00455B15"/>
    <w:rsid w:val="00457832"/>
    <w:rsid w:val="00467B8A"/>
    <w:rsid w:val="00477C54"/>
    <w:rsid w:val="00482780"/>
    <w:rsid w:val="004865F3"/>
    <w:rsid w:val="004A0CBD"/>
    <w:rsid w:val="004A0E4F"/>
    <w:rsid w:val="004A1980"/>
    <w:rsid w:val="004A27B2"/>
    <w:rsid w:val="004A4A51"/>
    <w:rsid w:val="004B0EBA"/>
    <w:rsid w:val="004B4981"/>
    <w:rsid w:val="004B6CC2"/>
    <w:rsid w:val="004C5A0C"/>
    <w:rsid w:val="004C6A2F"/>
    <w:rsid w:val="004D5F8E"/>
    <w:rsid w:val="004E4071"/>
    <w:rsid w:val="004F4007"/>
    <w:rsid w:val="004F5A3D"/>
    <w:rsid w:val="005129D7"/>
    <w:rsid w:val="005167F2"/>
    <w:rsid w:val="00516F46"/>
    <w:rsid w:val="0052165E"/>
    <w:rsid w:val="005300DE"/>
    <w:rsid w:val="00532DCD"/>
    <w:rsid w:val="00535B5E"/>
    <w:rsid w:val="00550727"/>
    <w:rsid w:val="005609C3"/>
    <w:rsid w:val="0056406B"/>
    <w:rsid w:val="005824D5"/>
    <w:rsid w:val="00595B79"/>
    <w:rsid w:val="005A0345"/>
    <w:rsid w:val="005A6894"/>
    <w:rsid w:val="005B6728"/>
    <w:rsid w:val="005C4420"/>
    <w:rsid w:val="005D7B2C"/>
    <w:rsid w:val="005F5D7F"/>
    <w:rsid w:val="006305D1"/>
    <w:rsid w:val="006540FC"/>
    <w:rsid w:val="00655318"/>
    <w:rsid w:val="00661162"/>
    <w:rsid w:val="00662E21"/>
    <w:rsid w:val="00667C33"/>
    <w:rsid w:val="00677B0D"/>
    <w:rsid w:val="00681FC1"/>
    <w:rsid w:val="006873ED"/>
    <w:rsid w:val="0069538E"/>
    <w:rsid w:val="006A679D"/>
    <w:rsid w:val="006C219F"/>
    <w:rsid w:val="006D1327"/>
    <w:rsid w:val="006D6ADD"/>
    <w:rsid w:val="006E3BEC"/>
    <w:rsid w:val="006E58B6"/>
    <w:rsid w:val="007050AA"/>
    <w:rsid w:val="007072BB"/>
    <w:rsid w:val="007132C5"/>
    <w:rsid w:val="00716E07"/>
    <w:rsid w:val="0072269D"/>
    <w:rsid w:val="007442D6"/>
    <w:rsid w:val="00765EA5"/>
    <w:rsid w:val="0076772C"/>
    <w:rsid w:val="007907CF"/>
    <w:rsid w:val="00797AC6"/>
    <w:rsid w:val="007B7141"/>
    <w:rsid w:val="007C3287"/>
    <w:rsid w:val="007D252B"/>
    <w:rsid w:val="007D370B"/>
    <w:rsid w:val="007E187D"/>
    <w:rsid w:val="007F1BDF"/>
    <w:rsid w:val="00814174"/>
    <w:rsid w:val="00824E7F"/>
    <w:rsid w:val="00831E6D"/>
    <w:rsid w:val="00836BF4"/>
    <w:rsid w:val="008618F1"/>
    <w:rsid w:val="00863E21"/>
    <w:rsid w:val="008867CA"/>
    <w:rsid w:val="008A21A6"/>
    <w:rsid w:val="008A5092"/>
    <w:rsid w:val="008B2034"/>
    <w:rsid w:val="008C6E39"/>
    <w:rsid w:val="008D0A59"/>
    <w:rsid w:val="008F24FF"/>
    <w:rsid w:val="008F3DFE"/>
    <w:rsid w:val="00906758"/>
    <w:rsid w:val="0092096B"/>
    <w:rsid w:val="00922F74"/>
    <w:rsid w:val="0093725D"/>
    <w:rsid w:val="009819AE"/>
    <w:rsid w:val="0098343D"/>
    <w:rsid w:val="00983ED3"/>
    <w:rsid w:val="00994452"/>
    <w:rsid w:val="00994EAC"/>
    <w:rsid w:val="009D4888"/>
    <w:rsid w:val="009D6415"/>
    <w:rsid w:val="009E462C"/>
    <w:rsid w:val="009E640B"/>
    <w:rsid w:val="009E6484"/>
    <w:rsid w:val="009F38AA"/>
    <w:rsid w:val="009F7719"/>
    <w:rsid w:val="00A167FC"/>
    <w:rsid w:val="00A30EFD"/>
    <w:rsid w:val="00A37024"/>
    <w:rsid w:val="00A6216E"/>
    <w:rsid w:val="00A641D5"/>
    <w:rsid w:val="00A64968"/>
    <w:rsid w:val="00A70668"/>
    <w:rsid w:val="00A76F5B"/>
    <w:rsid w:val="00A77B8D"/>
    <w:rsid w:val="00A85417"/>
    <w:rsid w:val="00AA34C2"/>
    <w:rsid w:val="00AA3EDA"/>
    <w:rsid w:val="00AC1E0A"/>
    <w:rsid w:val="00AC43C4"/>
    <w:rsid w:val="00AD49F0"/>
    <w:rsid w:val="00AF5380"/>
    <w:rsid w:val="00AF6E28"/>
    <w:rsid w:val="00B0015A"/>
    <w:rsid w:val="00B0087F"/>
    <w:rsid w:val="00B066C1"/>
    <w:rsid w:val="00B12537"/>
    <w:rsid w:val="00B133AE"/>
    <w:rsid w:val="00B237B9"/>
    <w:rsid w:val="00B563FA"/>
    <w:rsid w:val="00B65624"/>
    <w:rsid w:val="00B80059"/>
    <w:rsid w:val="00BA6556"/>
    <w:rsid w:val="00BB30B5"/>
    <w:rsid w:val="00BB5671"/>
    <w:rsid w:val="00BE7F9F"/>
    <w:rsid w:val="00C232E2"/>
    <w:rsid w:val="00C24801"/>
    <w:rsid w:val="00C2769F"/>
    <w:rsid w:val="00C343B3"/>
    <w:rsid w:val="00C57B30"/>
    <w:rsid w:val="00C70621"/>
    <w:rsid w:val="00C70FE6"/>
    <w:rsid w:val="00C85B16"/>
    <w:rsid w:val="00C95820"/>
    <w:rsid w:val="00C96BAF"/>
    <w:rsid w:val="00CA2F4B"/>
    <w:rsid w:val="00CB3C73"/>
    <w:rsid w:val="00CB3E70"/>
    <w:rsid w:val="00CC1672"/>
    <w:rsid w:val="00CD4C54"/>
    <w:rsid w:val="00CF58C7"/>
    <w:rsid w:val="00CF63E8"/>
    <w:rsid w:val="00CF7CC4"/>
    <w:rsid w:val="00D22322"/>
    <w:rsid w:val="00D74B54"/>
    <w:rsid w:val="00DB29FD"/>
    <w:rsid w:val="00DB6FC1"/>
    <w:rsid w:val="00DE040F"/>
    <w:rsid w:val="00DF325D"/>
    <w:rsid w:val="00E179A1"/>
    <w:rsid w:val="00E426AE"/>
    <w:rsid w:val="00E64789"/>
    <w:rsid w:val="00E65ADF"/>
    <w:rsid w:val="00E70454"/>
    <w:rsid w:val="00E85C83"/>
    <w:rsid w:val="00E876D7"/>
    <w:rsid w:val="00E91B6D"/>
    <w:rsid w:val="00E96270"/>
    <w:rsid w:val="00E96D5F"/>
    <w:rsid w:val="00EB7544"/>
    <w:rsid w:val="00EC09DD"/>
    <w:rsid w:val="00EC2DB1"/>
    <w:rsid w:val="00EC7122"/>
    <w:rsid w:val="00ED0244"/>
    <w:rsid w:val="00EE3EA4"/>
    <w:rsid w:val="00EF12EF"/>
    <w:rsid w:val="00EF1EA8"/>
    <w:rsid w:val="00EF58F8"/>
    <w:rsid w:val="00F47917"/>
    <w:rsid w:val="00F56C2B"/>
    <w:rsid w:val="00F61773"/>
    <w:rsid w:val="00F62005"/>
    <w:rsid w:val="00F64DA1"/>
    <w:rsid w:val="00F70518"/>
    <w:rsid w:val="00F70DFF"/>
    <w:rsid w:val="00F8208E"/>
    <w:rsid w:val="00F86B00"/>
    <w:rsid w:val="00F902A8"/>
    <w:rsid w:val="00FA1A83"/>
    <w:rsid w:val="00FA2407"/>
    <w:rsid w:val="00FB183B"/>
    <w:rsid w:val="00FB1E53"/>
    <w:rsid w:val="00FC63D6"/>
    <w:rsid w:val="00FC671A"/>
    <w:rsid w:val="00FC67EA"/>
    <w:rsid w:val="00FE3B6E"/>
    <w:rsid w:val="00FE430F"/>
    <w:rsid w:val="00FE4810"/>
    <w:rsid w:val="00FF57BA"/>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9B91A1"/>
  <w15:chartTrackingRefBased/>
  <w15:docId w15:val="{FE783374-6B5D-47A5-BAB2-7C6BCE26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E7F"/>
    <w:rPr>
      <w:color w:val="0000FF"/>
      <w:u w:val="single"/>
    </w:rPr>
  </w:style>
  <w:style w:type="paragraph" w:styleId="ListParagraph">
    <w:name w:val="List Paragraph"/>
    <w:basedOn w:val="Normal"/>
    <w:uiPriority w:val="34"/>
    <w:qFormat/>
    <w:rsid w:val="003C7187"/>
    <w:pPr>
      <w:ind w:left="720"/>
      <w:contextualSpacing/>
    </w:pPr>
  </w:style>
  <w:style w:type="character" w:styleId="CommentReference">
    <w:name w:val="annotation reference"/>
    <w:basedOn w:val="DefaultParagraphFont"/>
    <w:uiPriority w:val="99"/>
    <w:semiHidden/>
    <w:unhideWhenUsed/>
    <w:rsid w:val="007E187D"/>
    <w:rPr>
      <w:sz w:val="16"/>
      <w:szCs w:val="16"/>
    </w:rPr>
  </w:style>
  <w:style w:type="paragraph" w:styleId="CommentText">
    <w:name w:val="annotation text"/>
    <w:basedOn w:val="Normal"/>
    <w:link w:val="CommentTextChar"/>
    <w:uiPriority w:val="99"/>
    <w:semiHidden/>
    <w:unhideWhenUsed/>
    <w:rsid w:val="007E187D"/>
    <w:pPr>
      <w:spacing w:line="240" w:lineRule="auto"/>
    </w:pPr>
    <w:rPr>
      <w:sz w:val="20"/>
      <w:szCs w:val="20"/>
    </w:rPr>
  </w:style>
  <w:style w:type="character" w:customStyle="1" w:styleId="CommentTextChar">
    <w:name w:val="Comment Text Char"/>
    <w:basedOn w:val="DefaultParagraphFont"/>
    <w:link w:val="CommentText"/>
    <w:uiPriority w:val="99"/>
    <w:semiHidden/>
    <w:rsid w:val="007E187D"/>
    <w:rPr>
      <w:sz w:val="20"/>
      <w:szCs w:val="20"/>
    </w:rPr>
  </w:style>
  <w:style w:type="paragraph" w:styleId="CommentSubject">
    <w:name w:val="annotation subject"/>
    <w:basedOn w:val="CommentText"/>
    <w:next w:val="CommentText"/>
    <w:link w:val="CommentSubjectChar"/>
    <w:uiPriority w:val="99"/>
    <w:semiHidden/>
    <w:unhideWhenUsed/>
    <w:rsid w:val="007E187D"/>
    <w:rPr>
      <w:b/>
      <w:bCs/>
    </w:rPr>
  </w:style>
  <w:style w:type="character" w:customStyle="1" w:styleId="CommentSubjectChar">
    <w:name w:val="Comment Subject Char"/>
    <w:basedOn w:val="CommentTextChar"/>
    <w:link w:val="CommentSubject"/>
    <w:uiPriority w:val="99"/>
    <w:semiHidden/>
    <w:rsid w:val="007E187D"/>
    <w:rPr>
      <w:b/>
      <w:bCs/>
      <w:sz w:val="20"/>
      <w:szCs w:val="20"/>
    </w:rPr>
  </w:style>
  <w:style w:type="paragraph" w:styleId="BalloonText">
    <w:name w:val="Balloon Text"/>
    <w:basedOn w:val="Normal"/>
    <w:link w:val="BalloonTextChar"/>
    <w:uiPriority w:val="99"/>
    <w:semiHidden/>
    <w:unhideWhenUsed/>
    <w:rsid w:val="007E1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7D"/>
    <w:rPr>
      <w:rFonts w:ascii="Segoe UI" w:hAnsi="Segoe UI" w:cs="Segoe UI"/>
      <w:sz w:val="18"/>
      <w:szCs w:val="18"/>
    </w:rPr>
  </w:style>
  <w:style w:type="paragraph" w:styleId="Header">
    <w:name w:val="header"/>
    <w:basedOn w:val="Normal"/>
    <w:link w:val="HeaderChar"/>
    <w:uiPriority w:val="99"/>
    <w:unhideWhenUsed/>
    <w:rsid w:val="0030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F75"/>
  </w:style>
  <w:style w:type="paragraph" w:styleId="Footer">
    <w:name w:val="footer"/>
    <w:basedOn w:val="Normal"/>
    <w:link w:val="FooterChar"/>
    <w:uiPriority w:val="99"/>
    <w:unhideWhenUsed/>
    <w:rsid w:val="0030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F75"/>
  </w:style>
  <w:style w:type="paragraph" w:customStyle="1" w:styleId="Default">
    <w:name w:val="Default"/>
    <w:rsid w:val="00814174"/>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E70454"/>
    <w:rPr>
      <w:i/>
      <w:iCs/>
    </w:rPr>
  </w:style>
  <w:style w:type="paragraph" w:styleId="FootnoteText">
    <w:name w:val="footnote text"/>
    <w:basedOn w:val="Normal"/>
    <w:link w:val="FootnoteTextChar"/>
    <w:uiPriority w:val="99"/>
    <w:unhideWhenUsed/>
    <w:rsid w:val="008867CA"/>
    <w:pPr>
      <w:spacing w:after="0" w:line="240" w:lineRule="auto"/>
    </w:pPr>
    <w:rPr>
      <w:sz w:val="20"/>
      <w:szCs w:val="20"/>
    </w:rPr>
  </w:style>
  <w:style w:type="character" w:customStyle="1" w:styleId="FootnoteTextChar">
    <w:name w:val="Footnote Text Char"/>
    <w:basedOn w:val="DefaultParagraphFont"/>
    <w:link w:val="FootnoteText"/>
    <w:uiPriority w:val="99"/>
    <w:rsid w:val="008867CA"/>
    <w:rPr>
      <w:sz w:val="20"/>
      <w:szCs w:val="20"/>
    </w:rPr>
  </w:style>
  <w:style w:type="character" w:styleId="FootnoteReference">
    <w:name w:val="footnote reference"/>
    <w:basedOn w:val="DefaultParagraphFont"/>
    <w:uiPriority w:val="99"/>
    <w:unhideWhenUsed/>
    <w:rsid w:val="008867CA"/>
    <w:rPr>
      <w:vertAlign w:val="superscript"/>
    </w:rPr>
  </w:style>
  <w:style w:type="paragraph" w:styleId="NormalWeb">
    <w:name w:val="Normal (Web)"/>
    <w:basedOn w:val="Normal"/>
    <w:uiPriority w:val="99"/>
    <w:unhideWhenUsed/>
    <w:rsid w:val="000347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54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575">
      <w:bodyDiv w:val="1"/>
      <w:marLeft w:val="0"/>
      <w:marRight w:val="0"/>
      <w:marTop w:val="0"/>
      <w:marBottom w:val="0"/>
      <w:divBdr>
        <w:top w:val="none" w:sz="0" w:space="0" w:color="auto"/>
        <w:left w:val="none" w:sz="0" w:space="0" w:color="auto"/>
        <w:bottom w:val="none" w:sz="0" w:space="0" w:color="auto"/>
        <w:right w:val="none" w:sz="0" w:space="0" w:color="auto"/>
      </w:divBdr>
      <w:divsChild>
        <w:div w:id="791286744">
          <w:marLeft w:val="1166"/>
          <w:marRight w:val="0"/>
          <w:marTop w:val="86"/>
          <w:marBottom w:val="0"/>
          <w:divBdr>
            <w:top w:val="none" w:sz="0" w:space="0" w:color="auto"/>
            <w:left w:val="none" w:sz="0" w:space="0" w:color="auto"/>
            <w:bottom w:val="none" w:sz="0" w:space="0" w:color="auto"/>
            <w:right w:val="none" w:sz="0" w:space="0" w:color="auto"/>
          </w:divBdr>
        </w:div>
        <w:div w:id="723525627">
          <w:marLeft w:val="1166"/>
          <w:marRight w:val="0"/>
          <w:marTop w:val="86"/>
          <w:marBottom w:val="0"/>
          <w:divBdr>
            <w:top w:val="none" w:sz="0" w:space="0" w:color="auto"/>
            <w:left w:val="none" w:sz="0" w:space="0" w:color="auto"/>
            <w:bottom w:val="none" w:sz="0" w:space="0" w:color="auto"/>
            <w:right w:val="none" w:sz="0" w:space="0" w:color="auto"/>
          </w:divBdr>
        </w:div>
      </w:divsChild>
    </w:div>
    <w:div w:id="125053854">
      <w:bodyDiv w:val="1"/>
      <w:marLeft w:val="0"/>
      <w:marRight w:val="0"/>
      <w:marTop w:val="0"/>
      <w:marBottom w:val="0"/>
      <w:divBdr>
        <w:top w:val="none" w:sz="0" w:space="0" w:color="auto"/>
        <w:left w:val="none" w:sz="0" w:space="0" w:color="auto"/>
        <w:bottom w:val="none" w:sz="0" w:space="0" w:color="auto"/>
        <w:right w:val="none" w:sz="0" w:space="0" w:color="auto"/>
      </w:divBdr>
      <w:divsChild>
        <w:div w:id="153687260">
          <w:marLeft w:val="720"/>
          <w:marRight w:val="0"/>
          <w:marTop w:val="115"/>
          <w:marBottom w:val="120"/>
          <w:divBdr>
            <w:top w:val="none" w:sz="0" w:space="0" w:color="auto"/>
            <w:left w:val="none" w:sz="0" w:space="0" w:color="auto"/>
            <w:bottom w:val="none" w:sz="0" w:space="0" w:color="auto"/>
            <w:right w:val="none" w:sz="0" w:space="0" w:color="auto"/>
          </w:divBdr>
        </w:div>
        <w:div w:id="1963419675">
          <w:marLeft w:val="1555"/>
          <w:marRight w:val="0"/>
          <w:marTop w:val="115"/>
          <w:marBottom w:val="120"/>
          <w:divBdr>
            <w:top w:val="none" w:sz="0" w:space="0" w:color="auto"/>
            <w:left w:val="none" w:sz="0" w:space="0" w:color="auto"/>
            <w:bottom w:val="none" w:sz="0" w:space="0" w:color="auto"/>
            <w:right w:val="none" w:sz="0" w:space="0" w:color="auto"/>
          </w:divBdr>
        </w:div>
      </w:divsChild>
    </w:div>
    <w:div w:id="406729939">
      <w:bodyDiv w:val="1"/>
      <w:marLeft w:val="0"/>
      <w:marRight w:val="0"/>
      <w:marTop w:val="0"/>
      <w:marBottom w:val="0"/>
      <w:divBdr>
        <w:top w:val="none" w:sz="0" w:space="0" w:color="auto"/>
        <w:left w:val="none" w:sz="0" w:space="0" w:color="auto"/>
        <w:bottom w:val="none" w:sz="0" w:space="0" w:color="auto"/>
        <w:right w:val="none" w:sz="0" w:space="0" w:color="auto"/>
      </w:divBdr>
    </w:div>
    <w:div w:id="488522687">
      <w:bodyDiv w:val="1"/>
      <w:marLeft w:val="0"/>
      <w:marRight w:val="0"/>
      <w:marTop w:val="0"/>
      <w:marBottom w:val="0"/>
      <w:divBdr>
        <w:top w:val="none" w:sz="0" w:space="0" w:color="auto"/>
        <w:left w:val="none" w:sz="0" w:space="0" w:color="auto"/>
        <w:bottom w:val="none" w:sz="0" w:space="0" w:color="auto"/>
        <w:right w:val="none" w:sz="0" w:space="0" w:color="auto"/>
      </w:divBdr>
    </w:div>
    <w:div w:id="901602590">
      <w:bodyDiv w:val="1"/>
      <w:marLeft w:val="0"/>
      <w:marRight w:val="0"/>
      <w:marTop w:val="0"/>
      <w:marBottom w:val="0"/>
      <w:divBdr>
        <w:top w:val="none" w:sz="0" w:space="0" w:color="auto"/>
        <w:left w:val="none" w:sz="0" w:space="0" w:color="auto"/>
        <w:bottom w:val="none" w:sz="0" w:space="0" w:color="auto"/>
        <w:right w:val="none" w:sz="0" w:space="0" w:color="auto"/>
      </w:divBdr>
      <w:divsChild>
        <w:div w:id="1676110206">
          <w:marLeft w:val="1166"/>
          <w:marRight w:val="0"/>
          <w:marTop w:val="125"/>
          <w:marBottom w:val="0"/>
          <w:divBdr>
            <w:top w:val="none" w:sz="0" w:space="0" w:color="auto"/>
            <w:left w:val="none" w:sz="0" w:space="0" w:color="auto"/>
            <w:bottom w:val="none" w:sz="0" w:space="0" w:color="auto"/>
            <w:right w:val="none" w:sz="0" w:space="0" w:color="auto"/>
          </w:divBdr>
        </w:div>
      </w:divsChild>
    </w:div>
    <w:div w:id="2080051721">
      <w:bodyDiv w:val="1"/>
      <w:marLeft w:val="0"/>
      <w:marRight w:val="0"/>
      <w:marTop w:val="0"/>
      <w:marBottom w:val="0"/>
      <w:divBdr>
        <w:top w:val="none" w:sz="0" w:space="0" w:color="auto"/>
        <w:left w:val="none" w:sz="0" w:space="0" w:color="auto"/>
        <w:bottom w:val="none" w:sz="0" w:space="0" w:color="auto"/>
        <w:right w:val="none" w:sz="0" w:space="0" w:color="auto"/>
      </w:divBdr>
      <w:divsChild>
        <w:div w:id="1244486689">
          <w:marLeft w:val="155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5/158.15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hhs.texas.gov/sites/.../medicaid-chip-ec-comm-july-2017-closed-items.pdf" TargetMode="External"/><Relationship Id="rId1" Type="http://schemas.openxmlformats.org/officeDocument/2006/relationships/hyperlink" Target="http://content.healthaffairs.org/content/36/3/46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878A-FD64-48AA-A1AC-90843791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Lisa C</dc:creator>
  <cp:keywords/>
  <dc:description/>
  <cp:lastModifiedBy>Dana Danaher</cp:lastModifiedBy>
  <cp:revision>2</cp:revision>
  <cp:lastPrinted>2018-04-17T15:18:00Z</cp:lastPrinted>
  <dcterms:created xsi:type="dcterms:W3CDTF">2018-05-17T02:49:00Z</dcterms:created>
  <dcterms:modified xsi:type="dcterms:W3CDTF">2018-05-17T02:49:00Z</dcterms:modified>
</cp:coreProperties>
</file>